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t xml:space="preserve">Этап 1. Создание экспертной комиссии.</w:t>
      </w:r>
    </w:p>
    <w:p>
      <w:pPr>
        <w:pStyle w:val="pStyle"/>
      </w:pPr>
      <w:r>
        <w:t xml:space="preserve">Число факторов n = 5, Число экспертов m = 4</w:t>
      </w:r>
    </w:p>
    <w:p>
      <w:pPr>
        <w:pStyle w:val="pStyle"/>
      </w:pPr>
      <w:r>
        <w:t xml:space="preserve">Этап 2. Сбор мнений специалистов путем анкетного опроса.</w:t>
      </w:r>
    </w:p>
    <w:p>
      <w:pPr>
        <w:pStyle w:val="pStyle"/>
      </w:pPr>
      <w:r>
        <w:t xml:space="preserve">Оценку степени значимости параметров эксперты производят путем присвоения им рангового номера. Фактору, которому эксперт дает наивысшую оценку, присваивается ранг 1. Если эксперт признает несколько факторов равнозначными, то им присваивается одинаковый ранговый номер. На основе данных анкетного опроса составляется сводная матрица рангов.</w:t>
      </w:r>
    </w:p>
    <w:p>
      <w:pPr>
        <w:pStyle w:val="pStyle"/>
      </w:pPr>
      <w:r>
        <w:t xml:space="preserve">Этап 3. Составление сводной матрицы рангов.</w:t>
      </w:r>
    </w:p>
    <w:tbl>
      <w:tblPr>
        <w:tblStyle w:val="myOwnTableStyle"/>
        <w:jc w:val="center"/>
      </w:tblPr>
      <w:tr>
        <w:tc>
          <w:tcPr>
            <w:tcW w:w="1000" w:type="dxa"/>
          </w:tcPr>
          <w:p>
            <w:r>
              <w:t xml:space="preserve">№ п.п. / Эксперты</w:t>
            </w:r>
          </w:p>
        </w:tc>
        <w:tc>
          <w:tcPr>
            <w:tcW w:w="1000" w:type="dxa"/>
          </w:tcPr>
          <w:p>
            <w:r>
              <w:t xml:space="preserve">1</w:t>
            </w:r>
          </w:p>
        </w:tc>
        <w:tc>
          <w:tcPr>
            <w:tcW w:w="1000" w:type="dxa"/>
          </w:tcPr>
          <w:p>
            <w:r>
              <w:t xml:space="preserve">2</w:t>
            </w:r>
          </w:p>
        </w:tc>
        <w:tc>
          <w:tcPr>
            <w:tcW w:w="1000" w:type="dxa"/>
          </w:tcPr>
          <w:p>
            <w:r>
              <w:t xml:space="preserve">3</w:t>
            </w:r>
          </w:p>
        </w:tc>
        <w:tc>
          <w:tcPr>
            <w:tcW w:w="1000" w:type="dxa"/>
          </w:tcPr>
          <w:p>
            <w:r>
              <w:t xml:space="preserve">4</w:t>
            </w:r>
          </w:p>
        </w:tc>
      </w:tr>
      <w:tr>
        <w:tc>
          <w:tcPr>
            <w:tcW w:w="1000" w:type="dxa"/>
          </w:tcPr>
          <w:p>
            <w:r>
              <w:t xml:space="preserve">1</w:t>
            </w:r>
          </w:p>
        </w:tc>
        <w:tc>
          <w:tcPr>
            <w:tcW w:w="1000" w:type="dxa"/>
          </w:tcPr>
          <w:p>
            <w:r>
              <w:t xml:space="preserve">2</w:t>
            </w:r>
          </w:p>
        </w:tc>
        <w:tc>
          <w:tcPr>
            <w:tcW w:w="1000" w:type="dxa"/>
          </w:tcPr>
          <w:p>
            <w:r>
              <w:t xml:space="preserve">1</w:t>
            </w:r>
          </w:p>
        </w:tc>
        <w:tc>
          <w:tcPr>
            <w:tcW w:w="1000" w:type="dxa"/>
          </w:tcPr>
          <w:p>
            <w:r>
              <w:t xml:space="preserve">2</w:t>
            </w:r>
          </w:p>
        </w:tc>
        <w:tc>
          <w:tcPr>
            <w:tcW w:w="1000" w:type="dxa"/>
          </w:tcPr>
          <w:p>
            <w:r>
              <w:t xml:space="preserve">1</w:t>
            </w:r>
          </w:p>
        </w:tc>
      </w:tr>
      <w:tr>
        <w:tc>
          <w:tcPr>
            <w:tcW w:w="1000" w:type="dxa"/>
          </w:tcPr>
          <w:p>
            <w:r>
              <w:t xml:space="preserve">2</w:t>
            </w:r>
          </w:p>
        </w:tc>
        <w:tc>
          <w:tcPr>
            <w:tcW w:w="1000" w:type="dxa"/>
          </w:tcPr>
          <w:p>
            <w:r>
              <w:t xml:space="preserve">3</w:t>
            </w:r>
          </w:p>
        </w:tc>
        <w:tc>
          <w:tcPr>
            <w:tcW w:w="1000" w:type="dxa"/>
          </w:tcPr>
          <w:p>
            <w:r>
              <w:t xml:space="preserve">4</w:t>
            </w:r>
          </w:p>
        </w:tc>
        <w:tc>
          <w:tcPr>
            <w:tcW w:w="1000" w:type="dxa"/>
          </w:tcPr>
          <w:p>
            <w:r>
              <w:t xml:space="preserve">5</w:t>
            </w:r>
          </w:p>
        </w:tc>
        <w:tc>
          <w:tcPr>
            <w:tcW w:w="1000" w:type="dxa"/>
          </w:tcPr>
          <w:p>
            <w:r>
              <w:t xml:space="preserve">4</w:t>
            </w:r>
          </w:p>
        </w:tc>
      </w:tr>
      <w:tr>
        <w:tc>
          <w:tcPr>
            <w:tcW w:w="1000" w:type="dxa"/>
          </w:tcPr>
          <w:p>
            <w:r>
              <w:t xml:space="preserve">3</w:t>
            </w:r>
          </w:p>
        </w:tc>
        <w:tc>
          <w:tcPr>
            <w:tcW w:w="1000" w:type="dxa"/>
          </w:tcPr>
          <w:p>
            <w:r>
              <w:t xml:space="preserve">1</w:t>
            </w:r>
          </w:p>
        </w:tc>
        <w:tc>
          <w:tcPr>
            <w:tcW w:w="1000" w:type="dxa"/>
          </w:tcPr>
          <w:p>
            <w:r>
              <w:t xml:space="preserve">4</w:t>
            </w:r>
          </w:p>
        </w:tc>
        <w:tc>
          <w:tcPr>
            <w:tcW w:w="1000" w:type="dxa"/>
          </w:tcPr>
          <w:p>
            <w:r>
              <w:t xml:space="preserve">3</w:t>
            </w:r>
          </w:p>
        </w:tc>
        <w:tc>
          <w:tcPr>
            <w:tcW w:w="1000" w:type="dxa"/>
          </w:tcPr>
          <w:p>
            <w:r>
              <w:t xml:space="preserve">2</w:t>
            </w:r>
          </w:p>
        </w:tc>
      </w:tr>
      <w:tr>
        <w:tc>
          <w:tcPr>
            <w:tcW w:w="1000" w:type="dxa"/>
          </w:tcPr>
          <w:p>
            <w:r>
              <w:t xml:space="preserve">4</w:t>
            </w:r>
          </w:p>
        </w:tc>
        <w:tc>
          <w:tcPr>
            <w:tcW w:w="1000" w:type="dxa"/>
          </w:tcPr>
          <w:p>
            <w:r>
              <w:t xml:space="preserve">5</w:t>
            </w:r>
          </w:p>
        </w:tc>
        <w:tc>
          <w:tcPr>
            <w:tcW w:w="1000" w:type="dxa"/>
          </w:tcPr>
          <w:p>
            <w:r>
              <w:t xml:space="preserve">3</w:t>
            </w:r>
          </w:p>
        </w:tc>
        <w:tc>
          <w:tcPr>
            <w:tcW w:w="1000" w:type="dxa"/>
          </w:tcPr>
          <w:p>
            <w:r>
              <w:t xml:space="preserve">5</w:t>
            </w:r>
          </w:p>
        </w:tc>
        <w:tc>
          <w:tcPr>
            <w:tcW w:w="1000" w:type="dxa"/>
          </w:tcPr>
          <w:p>
            <w:r>
              <w:t xml:space="preserve">3</w:t>
            </w:r>
          </w:p>
        </w:tc>
      </w:tr>
      <w:tr>
        <w:tc>
          <w:tcPr>
            <w:tcW w:w="1000" w:type="dxa"/>
          </w:tcPr>
          <w:p>
            <w:r>
              <w:t xml:space="preserve">5</w:t>
            </w:r>
          </w:p>
        </w:tc>
        <w:tc>
          <w:tcPr>
            <w:tcW w:w="1000" w:type="dxa"/>
          </w:tcPr>
          <w:p>
            <w:r>
              <w:t xml:space="preserve">4</w:t>
            </w:r>
          </w:p>
        </w:tc>
        <w:tc>
          <w:tcPr>
            <w:tcW w:w="1000" w:type="dxa"/>
          </w:tcPr>
          <w:p>
            <w:r>
              <w:t xml:space="preserve">4</w:t>
            </w:r>
          </w:p>
        </w:tc>
        <w:tc>
          <w:tcPr>
            <w:tcW w:w="1000" w:type="dxa"/>
          </w:tcPr>
          <w:p>
            <w:r>
              <w:t xml:space="preserve">2</w:t>
            </w:r>
          </w:p>
        </w:tc>
        <w:tc>
          <w:tcPr>
            <w:tcW w:w="1000" w:type="dxa"/>
          </w:tcPr>
          <w:p>
            <w:r>
              <w:t xml:space="preserve">5</w:t>
            </w:r>
          </w:p>
        </w:tc>
      </w:tr>
    </w:tbl>
    <w:p>
      <w:pPr>
        <w:pStyle w:val="pStyle"/>
      </w:pPr>
      <w:r>
        <w:t xml:space="preserve">Так как в матрице имеются связанные ранги (одинаковый ранговый номер) в оценках 2-го эксперта, произведем их переформирование. Переформирование рангов производиться без изменения мнения эксперта, то есть между ранговыми номерами должны сохраниться соответствующие соотношения (больше, меньше или равно). Также не рекомендуется ставить ранг выше 1 и ниже значения равного количеству параметров (в данном случае n = 5). Переформирование рангов производится в табл.</w:t>
      </w:r>
    </w:p>
    <w:tbl>
      <w:tblPr>
        <w:tblStyle w:val="myOwnTableStyle"/>
        <w:jc w:val="center"/>
      </w:tblPr>
      <w:tr>
        <w:tc>
          <w:tcPr>
            <w:tcW w:w="1500" w:type="dxa"/>
          </w:tcPr>
          <w:p>
            <w:r>
              <w:t xml:space="preserve">Номера мест в упорядоченном ряду</w:t>
            </w:r>
          </w:p>
        </w:tc>
        <w:tc>
          <w:tcPr>
            <w:tcW w:w="1500" w:type="dxa"/>
          </w:tcPr>
          <w:p>
            <w:r>
              <w:t xml:space="preserve">Расположение факторов по оценке эксперта</w:t>
            </w:r>
          </w:p>
        </w:tc>
        <w:tc>
          <w:tcPr>
            <w:tcW w:w="1500" w:type="dxa"/>
          </w:tcPr>
          <w:p>
            <w:r>
              <w:t xml:space="preserve">Новые ранги</w:t>
            </w:r>
          </w:p>
        </w:tc>
      </w:tr>
      <w:tr>
        <w:tc>
          <w:tcPr>
            <w:tcW w:w="1500" w:type="dxa"/>
          </w:tcPr>
          <w:p>
            <w:r>
              <w:t xml:space="preserve">1</w:t>
            </w:r>
          </w:p>
        </w:tc>
        <w:tc>
          <w:tcPr>
            <w:tcW w:w="1500" w:type="dxa"/>
          </w:tcPr>
          <w:p>
            <w:r>
              <w:t xml:space="preserve">1</w:t>
            </w:r>
          </w:p>
        </w:tc>
        <w:tc>
          <w:tcPr>
            <w:tcW w:w="1500" w:type="dxa"/>
          </w:tcPr>
          <w:p>
            <w:r>
              <w:t xml:space="preserve">1</w:t>
            </w:r>
          </w:p>
        </w:tc>
      </w:tr>
      <w:tr>
        <w:tc>
          <w:tcPr>
            <w:tcW w:w="1500" w:type="dxa"/>
          </w:tcPr>
          <w:p>
            <w:r>
              <w:t xml:space="preserve">2</w:t>
            </w:r>
          </w:p>
        </w:tc>
        <w:tc>
          <w:tcPr>
            <w:tcW w:w="1500" w:type="dxa"/>
          </w:tcPr>
          <w:p>
            <w:r>
              <w:t xml:space="preserve">3</w:t>
            </w:r>
          </w:p>
        </w:tc>
        <w:tc>
          <w:tcPr>
            <w:tcW w:w="1500" w:type="dxa"/>
          </w:tcPr>
          <w:p>
            <w:r>
              <w:t xml:space="preserve">2</w:t>
            </w:r>
          </w:p>
        </w:tc>
      </w:tr>
      <w:tr>
        <w:tc>
          <w:tcPr>
            <w:tcW w:w="1500" w:type="dxa"/>
          </w:tcPr>
          <w:p>
            <w:r>
              <w:t xml:space="preserve">3</w:t>
            </w:r>
          </w:p>
        </w:tc>
        <w:tc>
          <w:tcPr>
            <w:tcW w:w="1500" w:type="dxa"/>
          </w:tcPr>
          <w:p>
            <w:r>
              <w:t xml:space="preserve">4</w:t>
            </w:r>
          </w:p>
        </w:tc>
        <w:tc>
          <w:tcPr>
            <w:tcW w:w="1500" w:type="dxa"/>
          </w:tcPr>
          <w:p>
            <w:r>
              <w:t xml:space="preserve">4</w:t>
            </w:r>
          </w:p>
        </w:tc>
      </w:tr>
      <w:tr>
        <w:tc>
          <w:tcPr>
            <w:tcW w:w="1500" w:type="dxa"/>
          </w:tcPr>
          <w:p>
            <w:r>
              <w:t xml:space="preserve">4</w:t>
            </w:r>
          </w:p>
        </w:tc>
        <w:tc>
          <w:tcPr>
            <w:tcW w:w="1500" w:type="dxa"/>
          </w:tcPr>
          <w:p>
            <w:r>
              <w:t xml:space="preserve">4</w:t>
            </w:r>
          </w:p>
        </w:tc>
        <w:tc>
          <w:tcPr>
            <w:tcW w:w="1500" w:type="dxa"/>
          </w:tcPr>
          <w:p>
            <w:r>
              <w:t xml:space="preserve">4</w:t>
            </w:r>
          </w:p>
        </w:tc>
      </w:tr>
      <w:tr>
        <w:tc>
          <w:tcPr>
            <w:tcW w:w="1500" w:type="dxa"/>
          </w:tcPr>
          <w:p>
            <w:r>
              <w:t xml:space="preserve">5</w:t>
            </w:r>
          </w:p>
        </w:tc>
        <w:tc>
          <w:tcPr>
            <w:tcW w:w="1500" w:type="dxa"/>
          </w:tcPr>
          <w:p>
            <w:r>
              <w:t xml:space="preserve">4</w:t>
            </w:r>
          </w:p>
        </w:tc>
        <w:tc>
          <w:tcPr>
            <w:tcW w:w="1500" w:type="dxa"/>
          </w:tcPr>
          <w:p>
            <w:r>
              <w:t xml:space="preserve">4</w:t>
            </w:r>
          </w:p>
        </w:tc>
      </w:tr>
    </w:tbl>
    <w:p>
      <w:pPr>
        <w:pStyle w:val="pStyle"/>
      </w:pPr>
      <w:r>
        <w:t xml:space="preserve">Так как в матрице имеются связанные ранги в оценках 3-го эксперта, произведем их переформирование. Переформирование рангов производится в табл.</w:t>
      </w:r>
    </w:p>
    <w:tbl>
      <w:tblPr>
        <w:tblStyle w:val="myOwnTableStyle"/>
        <w:jc w:val="center"/>
      </w:tblPr>
      <w:tr>
        <w:tc>
          <w:tcPr>
            <w:tcW w:w="1500" w:type="dxa"/>
          </w:tcPr>
          <w:p>
            <w:r>
              <w:t xml:space="preserve">Номера мест в упорядоченном ряду</w:t>
            </w:r>
          </w:p>
        </w:tc>
        <w:tc>
          <w:tcPr>
            <w:tcW w:w="1500" w:type="dxa"/>
          </w:tcPr>
          <w:p>
            <w:r>
              <w:t xml:space="preserve">Расположение факторов по оценке эксперта</w:t>
            </w:r>
          </w:p>
        </w:tc>
        <w:tc>
          <w:tcPr>
            <w:tcW w:w="1500" w:type="dxa"/>
          </w:tcPr>
          <w:p>
            <w:r>
              <w:t xml:space="preserve">Новые ранги</w:t>
            </w:r>
          </w:p>
        </w:tc>
      </w:tr>
      <w:tr>
        <w:tc>
          <w:tcPr>
            <w:tcW w:w="1500" w:type="dxa"/>
          </w:tcPr>
          <w:p>
            <w:r>
              <w:t xml:space="preserve">1</w:t>
            </w:r>
          </w:p>
        </w:tc>
        <w:tc>
          <w:tcPr>
            <w:tcW w:w="1500" w:type="dxa"/>
          </w:tcPr>
          <w:p>
            <w:r>
              <w:t xml:space="preserve">2</w:t>
            </w:r>
          </w:p>
        </w:tc>
        <w:tc>
          <w:tcPr>
            <w:tcW w:w="1500" w:type="dxa"/>
          </w:tcPr>
          <w:p>
            <w:r>
              <w:t xml:space="preserve">1.5</w:t>
            </w:r>
          </w:p>
        </w:tc>
      </w:tr>
      <w:tr>
        <w:tc>
          <w:tcPr>
            <w:tcW w:w="1500" w:type="dxa"/>
          </w:tcPr>
          <w:p>
            <w:r>
              <w:t xml:space="preserve">2</w:t>
            </w:r>
          </w:p>
        </w:tc>
        <w:tc>
          <w:tcPr>
            <w:tcW w:w="1500" w:type="dxa"/>
          </w:tcPr>
          <w:p>
            <w:r>
              <w:t xml:space="preserve">2</w:t>
            </w:r>
          </w:p>
        </w:tc>
        <w:tc>
          <w:tcPr>
            <w:tcW w:w="1500" w:type="dxa"/>
          </w:tcPr>
          <w:p>
            <w:r>
              <w:t xml:space="preserve">1.5</w:t>
            </w:r>
          </w:p>
        </w:tc>
      </w:tr>
      <w:tr>
        <w:tc>
          <w:tcPr>
            <w:tcW w:w="1500" w:type="dxa"/>
          </w:tcPr>
          <w:p>
            <w:r>
              <w:t xml:space="preserve">3</w:t>
            </w:r>
          </w:p>
        </w:tc>
        <w:tc>
          <w:tcPr>
            <w:tcW w:w="1500" w:type="dxa"/>
          </w:tcPr>
          <w:p>
            <w:r>
              <w:t xml:space="preserve">3</w:t>
            </w:r>
          </w:p>
        </w:tc>
        <w:tc>
          <w:tcPr>
            <w:tcW w:w="1500" w:type="dxa"/>
          </w:tcPr>
          <w:p>
            <w:r>
              <w:t xml:space="preserve">3</w:t>
            </w:r>
          </w:p>
        </w:tc>
      </w:tr>
      <w:tr>
        <w:tc>
          <w:tcPr>
            <w:tcW w:w="1500" w:type="dxa"/>
          </w:tcPr>
          <w:p>
            <w:r>
              <w:t xml:space="preserve">4</w:t>
            </w:r>
          </w:p>
        </w:tc>
        <w:tc>
          <w:tcPr>
            <w:tcW w:w="1500" w:type="dxa"/>
          </w:tcPr>
          <w:p>
            <w:r>
              <w:t xml:space="preserve">5</w:t>
            </w:r>
          </w:p>
        </w:tc>
        <w:tc>
          <w:tcPr>
            <w:tcW w:w="1500" w:type="dxa"/>
          </w:tcPr>
          <w:p>
            <w:r>
              <w:t xml:space="preserve">4.5</w:t>
            </w:r>
          </w:p>
        </w:tc>
      </w:tr>
      <w:tr>
        <w:tc>
          <w:tcPr>
            <w:tcW w:w="1500" w:type="dxa"/>
          </w:tcPr>
          <w:p>
            <w:r>
              <w:t xml:space="preserve">5</w:t>
            </w:r>
          </w:p>
        </w:tc>
        <w:tc>
          <w:tcPr>
            <w:tcW w:w="1500" w:type="dxa"/>
          </w:tcPr>
          <w:p>
            <w:r>
              <w:t xml:space="preserve">5</w:t>
            </w:r>
          </w:p>
        </w:tc>
        <w:tc>
          <w:tcPr>
            <w:tcW w:w="1500" w:type="dxa"/>
          </w:tcPr>
          <w:p>
            <w:r>
              <w:t xml:space="preserve">4.5</w:t>
            </w:r>
          </w:p>
        </w:tc>
      </w:tr>
    </w:tbl>
    <w:p>
      <w:pPr>
        <w:pStyle w:val="pStyle"/>
      </w:pPr>
      <w:r>
        <w:t xml:space="preserve">На основании переформирования рангов строится новая матрица рангов.</w:t>
      </w:r>
    </w:p>
    <w:tbl>
      <w:tblPr>
        <w:tblStyle w:val="myOwnTableStyle"/>
        <w:jc w:val="center"/>
      </w:tblPr>
      <w:tr>
        <w:tc>
          <w:tcPr>
            <w:tcW w:w="1000" w:type="dxa"/>
          </w:tcPr>
          <w:p>
            <w:r>
              <w:t xml:space="preserve">№ п.п. / Эксперты</w:t>
            </w:r>
          </w:p>
        </w:tc>
        <w:tc>
          <w:tcPr>
            <w:tcW w:w="1000" w:type="dxa"/>
          </w:tcPr>
          <w:p>
            <w:r>
              <w:t xml:space="preserve">1</w:t>
            </w:r>
          </w:p>
        </w:tc>
        <w:tc>
          <w:tcPr>
            <w:tcW w:w="1000" w:type="dxa"/>
          </w:tcPr>
          <w:p>
            <w:r>
              <w:t xml:space="preserve">2</w:t>
            </w:r>
          </w:p>
        </w:tc>
        <w:tc>
          <w:tcPr>
            <w:tcW w:w="1000" w:type="dxa"/>
          </w:tcPr>
          <w:p>
            <w:r>
              <w:t xml:space="preserve">3</w:t>
            </w:r>
          </w:p>
        </w:tc>
        <w:tc>
          <w:tcPr>
            <w:tcW w:w="1000" w:type="dxa"/>
          </w:tcPr>
          <w:p>
            <w:r>
              <w:t xml:space="preserve">4</w:t>
            </w:r>
          </w:p>
        </w:tc>
      </w:tr>
      <w:tr>
        <w:tc>
          <w:tcPr>
            <w:tcW w:w="1000" w:type="dxa"/>
          </w:tcPr>
          <w:p>
            <w:r>
              <w:t xml:space="preserve">1</w:t>
            </w:r>
          </w:p>
        </w:tc>
        <w:tc>
          <w:tcPr>
            <w:tcW w:w="1000" w:type="dxa"/>
          </w:tcPr>
          <w:p>
            <w:r>
              <w:t xml:space="preserve">2</w:t>
            </w:r>
          </w:p>
        </w:tc>
        <w:tc>
          <w:tcPr>
            <w:tcW w:w="1000" w:type="dxa"/>
          </w:tcPr>
          <w:p>
            <w:r>
              <w:t xml:space="preserve">1</w:t>
            </w:r>
          </w:p>
        </w:tc>
        <w:tc>
          <w:tcPr>
            <w:tcW w:w="1000" w:type="dxa"/>
          </w:tcPr>
          <w:p>
            <w:r>
              <w:t xml:space="preserve">1.5</w:t>
            </w:r>
          </w:p>
        </w:tc>
        <w:tc>
          <w:tcPr>
            <w:tcW w:w="1000" w:type="dxa"/>
          </w:tcPr>
          <w:p>
            <w:r>
              <w:t xml:space="preserve">1</w:t>
            </w:r>
          </w:p>
        </w:tc>
      </w:tr>
      <w:tr>
        <w:tc>
          <w:tcPr>
            <w:tcW w:w="1000" w:type="dxa"/>
          </w:tcPr>
          <w:p>
            <w:r>
              <w:t xml:space="preserve">2</w:t>
            </w:r>
          </w:p>
        </w:tc>
        <w:tc>
          <w:tcPr>
            <w:tcW w:w="1000" w:type="dxa"/>
          </w:tcPr>
          <w:p>
            <w:r>
              <w:t xml:space="preserve">3</w:t>
            </w:r>
          </w:p>
        </w:tc>
        <w:tc>
          <w:tcPr>
            <w:tcW w:w="1000" w:type="dxa"/>
          </w:tcPr>
          <w:p>
            <w:r>
              <w:t xml:space="preserve">4</w:t>
            </w:r>
          </w:p>
        </w:tc>
        <w:tc>
          <w:tcPr>
            <w:tcW w:w="1000" w:type="dxa"/>
          </w:tcPr>
          <w:p>
            <w:r>
              <w:t xml:space="preserve">4.5</w:t>
            </w:r>
          </w:p>
        </w:tc>
        <w:tc>
          <w:tcPr>
            <w:tcW w:w="1000" w:type="dxa"/>
          </w:tcPr>
          <w:p>
            <w:r>
              <w:t xml:space="preserve">4</w:t>
            </w:r>
          </w:p>
        </w:tc>
      </w:tr>
      <w:tr>
        <w:tc>
          <w:tcPr>
            <w:tcW w:w="1000" w:type="dxa"/>
          </w:tcPr>
          <w:p>
            <w:r>
              <w:t xml:space="preserve">3</w:t>
            </w:r>
          </w:p>
        </w:tc>
        <w:tc>
          <w:tcPr>
            <w:tcW w:w="1000" w:type="dxa"/>
          </w:tcPr>
          <w:p>
            <w:r>
              <w:t xml:space="preserve">1</w:t>
            </w:r>
          </w:p>
        </w:tc>
        <w:tc>
          <w:tcPr>
            <w:tcW w:w="1000" w:type="dxa"/>
          </w:tcPr>
          <w:p>
            <w:r>
              <w:t xml:space="preserve">4</w:t>
            </w:r>
          </w:p>
        </w:tc>
        <w:tc>
          <w:tcPr>
            <w:tcW w:w="1000" w:type="dxa"/>
          </w:tcPr>
          <w:p>
            <w:r>
              <w:t xml:space="preserve">3</w:t>
            </w:r>
          </w:p>
        </w:tc>
        <w:tc>
          <w:tcPr>
            <w:tcW w:w="1000" w:type="dxa"/>
          </w:tcPr>
          <w:p>
            <w:r>
              <w:t xml:space="preserve">2</w:t>
            </w:r>
          </w:p>
        </w:tc>
      </w:tr>
      <w:tr>
        <w:tc>
          <w:tcPr>
            <w:tcW w:w="1000" w:type="dxa"/>
          </w:tcPr>
          <w:p>
            <w:r>
              <w:t xml:space="preserve">4</w:t>
            </w:r>
          </w:p>
        </w:tc>
        <w:tc>
          <w:tcPr>
            <w:tcW w:w="1000" w:type="dxa"/>
          </w:tcPr>
          <w:p>
            <w:r>
              <w:t xml:space="preserve">5</w:t>
            </w:r>
          </w:p>
        </w:tc>
        <w:tc>
          <w:tcPr>
            <w:tcW w:w="1000" w:type="dxa"/>
          </w:tcPr>
          <w:p>
            <w:r>
              <w:t xml:space="preserve">2</w:t>
            </w:r>
          </w:p>
        </w:tc>
        <w:tc>
          <w:tcPr>
            <w:tcW w:w="1000" w:type="dxa"/>
          </w:tcPr>
          <w:p>
            <w:r>
              <w:t xml:space="preserve">4.5</w:t>
            </w:r>
          </w:p>
        </w:tc>
        <w:tc>
          <w:tcPr>
            <w:tcW w:w="1000" w:type="dxa"/>
          </w:tcPr>
          <w:p>
            <w:r>
              <w:t xml:space="preserve">3</w:t>
            </w:r>
          </w:p>
        </w:tc>
      </w:tr>
      <w:tr>
        <w:tc>
          <w:tcPr>
            <w:tcW w:w="1000" w:type="dxa"/>
          </w:tcPr>
          <w:p>
            <w:r>
              <w:t xml:space="preserve">5</w:t>
            </w:r>
          </w:p>
        </w:tc>
        <w:tc>
          <w:tcPr>
            <w:tcW w:w="1000" w:type="dxa"/>
          </w:tcPr>
          <w:p>
            <w:r>
              <w:t xml:space="preserve">4</w:t>
            </w:r>
          </w:p>
        </w:tc>
        <w:tc>
          <w:tcPr>
            <w:tcW w:w="1000" w:type="dxa"/>
          </w:tcPr>
          <w:p>
            <w:r>
              <w:t xml:space="preserve">4</w:t>
            </w:r>
          </w:p>
        </w:tc>
        <w:tc>
          <w:tcPr>
            <w:tcW w:w="1000" w:type="dxa"/>
          </w:tcPr>
          <w:p>
            <w:r>
              <w:t xml:space="preserve">1.5</w:t>
            </w:r>
          </w:p>
        </w:tc>
        <w:tc>
          <w:tcPr>
            <w:tcW w:w="1000" w:type="dxa"/>
          </w:tcPr>
          <w:p>
            <w:r>
              <w:t xml:space="preserve">5</w:t>
            </w:r>
          </w:p>
        </w:tc>
      </w:tr>
    </w:tbl>
    <w:p>
      <w:pPr>
        <w:pStyle w:val="pStyle"/>
      </w:pPr>
      <w:r>
        <w:t xml:space="preserve">Матрица рангов</w:t>
      </w:r>
    </w:p>
    <w:tbl>
      <w:tblPr>
        <w:tblStyle w:val="myOwnTableStyle"/>
        <w:jc w:val="center"/>
      </w:tblPr>
      <w:tr>
        <w:tc>
          <w:tcPr>
            <w:tcW w:w="1000" w:type="dxa"/>
          </w:tcPr>
          <w:p>
            <w:r>
              <w:t xml:space="preserve">Факторы / Эксперты</w:t>
            </w:r>
          </w:p>
        </w:tc>
        <w:tc>
          <w:tcPr>
            <w:tcW w:w="1000" w:type="dxa"/>
          </w:tcPr>
          <w:p>
            <w:r>
              <w:t xml:space="preserve">1</w:t>
            </w:r>
          </w:p>
        </w:tc>
        <w:tc>
          <w:tcPr>
            <w:tcW w:w="1000" w:type="dxa"/>
          </w:tcPr>
          <w:p>
            <w:r>
              <w:t xml:space="preserve">2</w:t>
            </w:r>
          </w:p>
        </w:tc>
        <w:tc>
          <w:tcPr>
            <w:tcW w:w="1000" w:type="dxa"/>
          </w:tcPr>
          <w:p>
            <w:r>
              <w:t xml:space="preserve">3</w:t>
            </w:r>
          </w:p>
        </w:tc>
        <w:tc>
          <w:tcPr>
            <w:tcW w:w="1000" w:type="dxa"/>
          </w:tcPr>
          <w:p>
            <w:r>
              <w:t xml:space="preserve">4</w:t>
            </w:r>
          </w:p>
        </w:tc>
        <w:tc>
          <w:tcPr>
            <w:tcW w:w="1000" w:type="dxa"/>
          </w:tcPr>
          <w:p>
            <w:r>
              <w:t xml:space="preserve">Сумма рангов</w:t>
            </w:r>
          </w:p>
        </w:tc>
        <w:tc>
          <w:tcPr>
            <w:tcW w:w="1000" w:type="dxa"/>
          </w:tcPr>
          <w:p>
            <w:r>
              <w:t xml:space="preserve">d</w:t>
            </w:r>
          </w:p>
        </w:tc>
        <w:tc>
          <w:tcPr>
            <w:tcW w:w="1000" w:type="dxa"/>
          </w:tcPr>
          <w:p>
            <w:r>
              <w:t xml:space="preserve">d</w:t>
            </w:r>
            <w:r>
              <w:rPr>
                <w:vertAlign w:val="superscript"/>
              </w:rPr>
              <w:t>2</w:t>
            </w:r>
          </w:p>
        </w:tc>
      </w:tr>
      <w:tr>
        <w:tc>
          <w:tcPr>
            <w:tcW w:w="1000" w:type="dxa"/>
          </w:tcPr>
          <w:p>
            <w:r>
              <w:t xml:space="preserve">x</w:t>
            </w:r>
            <w:r>
              <w:rPr>
                <w:vertAlign w:val="subscript"/>
              </w:rPr>
              <w:t>1</w:t>
            </w:r>
          </w:p>
        </w:tc>
        <w:tc>
          <w:tcPr>
            <w:tcW w:w="1000" w:type="dxa"/>
          </w:tcPr>
          <w:p>
            <w:r>
              <w:t xml:space="preserve">2</w:t>
            </w:r>
          </w:p>
        </w:tc>
        <w:tc>
          <w:tcPr>
            <w:tcW w:w="1000" w:type="dxa"/>
          </w:tcPr>
          <w:p>
            <w:r>
              <w:t xml:space="preserve">1</w:t>
            </w:r>
          </w:p>
        </w:tc>
        <w:tc>
          <w:tcPr>
            <w:tcW w:w="1000" w:type="dxa"/>
          </w:tcPr>
          <w:p>
            <w:r>
              <w:t xml:space="preserve">1.5</w:t>
            </w:r>
          </w:p>
        </w:tc>
        <w:tc>
          <w:tcPr>
            <w:tcW w:w="1000" w:type="dxa"/>
          </w:tcPr>
          <w:p>
            <w:r>
              <w:t xml:space="preserve">1</w:t>
            </w:r>
          </w:p>
        </w:tc>
        <w:tc>
          <w:tcPr>
            <w:tcW w:w="1000" w:type="dxa"/>
          </w:tcPr>
          <w:p>
            <w:r>
              <w:t xml:space="preserve">5.5</w:t>
            </w:r>
          </w:p>
        </w:tc>
        <w:tc>
          <w:tcPr>
            <w:tcW w:w="1000" w:type="dxa"/>
          </w:tcPr>
          <w:p>
            <w:r>
              <w:t xml:space="preserve">-6.5</w:t>
            </w:r>
          </w:p>
        </w:tc>
        <w:tc>
          <w:tcPr>
            <w:tcW w:w="1000" w:type="dxa"/>
          </w:tcPr>
          <w:p>
            <w:r>
              <w:t xml:space="preserve">42.25</w:t>
            </w:r>
          </w:p>
        </w:tc>
      </w:tr>
      <w:tr>
        <w:tc>
          <w:tcPr>
            <w:tcW w:w="1000" w:type="dxa"/>
          </w:tcPr>
          <w:p>
            <w:r>
              <w:t xml:space="preserve">x</w:t>
            </w:r>
            <w:r>
              <w:rPr>
                <w:vertAlign w:val="subscript"/>
              </w:rPr>
              <w:t>2</w:t>
            </w:r>
          </w:p>
        </w:tc>
        <w:tc>
          <w:tcPr>
            <w:tcW w:w="1000" w:type="dxa"/>
          </w:tcPr>
          <w:p>
            <w:r>
              <w:t xml:space="preserve">3</w:t>
            </w:r>
          </w:p>
        </w:tc>
        <w:tc>
          <w:tcPr>
            <w:tcW w:w="1000" w:type="dxa"/>
          </w:tcPr>
          <w:p>
            <w:r>
              <w:t xml:space="preserve">4</w:t>
            </w:r>
          </w:p>
        </w:tc>
        <w:tc>
          <w:tcPr>
            <w:tcW w:w="1000" w:type="dxa"/>
          </w:tcPr>
          <w:p>
            <w:r>
              <w:t xml:space="preserve">4.5</w:t>
            </w:r>
          </w:p>
        </w:tc>
        <w:tc>
          <w:tcPr>
            <w:tcW w:w="1000" w:type="dxa"/>
          </w:tcPr>
          <w:p>
            <w:r>
              <w:t xml:space="preserve">4</w:t>
            </w:r>
          </w:p>
        </w:tc>
        <w:tc>
          <w:tcPr>
            <w:tcW w:w="1000" w:type="dxa"/>
          </w:tcPr>
          <w:p>
            <w:r>
              <w:t xml:space="preserve">15.5</w:t>
            </w:r>
          </w:p>
        </w:tc>
        <w:tc>
          <w:tcPr>
            <w:tcW w:w="1000" w:type="dxa"/>
          </w:tcPr>
          <w:p>
            <w:r>
              <w:t xml:space="preserve">3.5</w:t>
            </w:r>
          </w:p>
        </w:tc>
        <w:tc>
          <w:tcPr>
            <w:tcW w:w="1000" w:type="dxa"/>
          </w:tcPr>
          <w:p>
            <w:r>
              <w:t xml:space="preserve">12.25</w:t>
            </w:r>
          </w:p>
        </w:tc>
      </w:tr>
      <w:tr>
        <w:tc>
          <w:tcPr>
            <w:tcW w:w="1000" w:type="dxa"/>
          </w:tcPr>
          <w:p>
            <w:r>
              <w:t xml:space="preserve">x</w:t>
            </w:r>
            <w:r>
              <w:rPr>
                <w:vertAlign w:val="subscript"/>
              </w:rPr>
              <w:t>3</w:t>
            </w:r>
          </w:p>
        </w:tc>
        <w:tc>
          <w:tcPr>
            <w:tcW w:w="1000" w:type="dxa"/>
          </w:tcPr>
          <w:p>
            <w:r>
              <w:t xml:space="preserve">1</w:t>
            </w:r>
          </w:p>
        </w:tc>
        <w:tc>
          <w:tcPr>
            <w:tcW w:w="1000" w:type="dxa"/>
          </w:tcPr>
          <w:p>
            <w:r>
              <w:t xml:space="preserve">4</w:t>
            </w:r>
          </w:p>
        </w:tc>
        <w:tc>
          <w:tcPr>
            <w:tcW w:w="1000" w:type="dxa"/>
          </w:tcPr>
          <w:p>
            <w:r>
              <w:t xml:space="preserve">3</w:t>
            </w:r>
          </w:p>
        </w:tc>
        <w:tc>
          <w:tcPr>
            <w:tcW w:w="1000" w:type="dxa"/>
          </w:tcPr>
          <w:p>
            <w:r>
              <w:t xml:space="preserve">2</w:t>
            </w:r>
          </w:p>
        </w:tc>
        <w:tc>
          <w:tcPr>
            <w:tcW w:w="1000" w:type="dxa"/>
          </w:tcPr>
          <w:p>
            <w:r>
              <w:t xml:space="preserve">10</w:t>
            </w:r>
          </w:p>
        </w:tc>
        <w:tc>
          <w:tcPr>
            <w:tcW w:w="1000" w:type="dxa"/>
          </w:tcPr>
          <w:p>
            <w:r>
              <w:t xml:space="preserve">-2</w:t>
            </w:r>
          </w:p>
        </w:tc>
        <w:tc>
          <w:tcPr>
            <w:tcW w:w="1000" w:type="dxa"/>
          </w:tcPr>
          <w:p>
            <w:r>
              <w:t xml:space="preserve">4</w:t>
            </w:r>
          </w:p>
        </w:tc>
      </w:tr>
      <w:tr>
        <w:tc>
          <w:tcPr>
            <w:tcW w:w="1000" w:type="dxa"/>
          </w:tcPr>
          <w:p>
            <w:r>
              <w:t xml:space="preserve">x</w:t>
            </w:r>
            <w:r>
              <w:rPr>
                <w:vertAlign w:val="subscript"/>
              </w:rPr>
              <w:t>4</w:t>
            </w:r>
          </w:p>
        </w:tc>
        <w:tc>
          <w:tcPr>
            <w:tcW w:w="1000" w:type="dxa"/>
          </w:tcPr>
          <w:p>
            <w:r>
              <w:t xml:space="preserve">5</w:t>
            </w:r>
          </w:p>
        </w:tc>
        <w:tc>
          <w:tcPr>
            <w:tcW w:w="1000" w:type="dxa"/>
          </w:tcPr>
          <w:p>
            <w:r>
              <w:t xml:space="preserve">2</w:t>
            </w:r>
          </w:p>
        </w:tc>
        <w:tc>
          <w:tcPr>
            <w:tcW w:w="1000" w:type="dxa"/>
          </w:tcPr>
          <w:p>
            <w:r>
              <w:t xml:space="preserve">4.5</w:t>
            </w:r>
          </w:p>
        </w:tc>
        <w:tc>
          <w:tcPr>
            <w:tcW w:w="1000" w:type="dxa"/>
          </w:tcPr>
          <w:p>
            <w:r>
              <w:t xml:space="preserve">3</w:t>
            </w:r>
          </w:p>
        </w:tc>
        <w:tc>
          <w:tcPr>
            <w:tcW w:w="1000" w:type="dxa"/>
          </w:tcPr>
          <w:p>
            <w:r>
              <w:t xml:space="preserve">14.5</w:t>
            </w:r>
          </w:p>
        </w:tc>
        <w:tc>
          <w:tcPr>
            <w:tcW w:w="1000" w:type="dxa"/>
          </w:tcPr>
          <w:p>
            <w:r>
              <w:t xml:space="preserve">2.5</w:t>
            </w:r>
          </w:p>
        </w:tc>
        <w:tc>
          <w:tcPr>
            <w:tcW w:w="1000" w:type="dxa"/>
          </w:tcPr>
          <w:p>
            <w:r>
              <w:t xml:space="preserve">6.25</w:t>
            </w:r>
          </w:p>
        </w:tc>
      </w:tr>
      <w:tr>
        <w:tc>
          <w:tcPr>
            <w:tcW w:w="1000" w:type="dxa"/>
          </w:tcPr>
          <w:p>
            <w:r>
              <w:t xml:space="preserve">x</w:t>
            </w:r>
            <w:r>
              <w:rPr>
                <w:vertAlign w:val="subscript"/>
              </w:rPr>
              <w:t>5</w:t>
            </w:r>
          </w:p>
        </w:tc>
        <w:tc>
          <w:tcPr>
            <w:tcW w:w="1000" w:type="dxa"/>
          </w:tcPr>
          <w:p>
            <w:r>
              <w:t xml:space="preserve">4</w:t>
            </w:r>
          </w:p>
        </w:tc>
        <w:tc>
          <w:tcPr>
            <w:tcW w:w="1000" w:type="dxa"/>
          </w:tcPr>
          <w:p>
            <w:r>
              <w:t xml:space="preserve">4</w:t>
            </w:r>
          </w:p>
        </w:tc>
        <w:tc>
          <w:tcPr>
            <w:tcW w:w="1000" w:type="dxa"/>
          </w:tcPr>
          <w:p>
            <w:r>
              <w:t xml:space="preserve">1.5</w:t>
            </w:r>
          </w:p>
        </w:tc>
        <w:tc>
          <w:tcPr>
            <w:tcW w:w="1000" w:type="dxa"/>
          </w:tcPr>
          <w:p>
            <w:r>
              <w:t xml:space="preserve">5</w:t>
            </w:r>
          </w:p>
        </w:tc>
        <w:tc>
          <w:tcPr>
            <w:tcW w:w="1000" w:type="dxa"/>
          </w:tcPr>
          <w:p>
            <w:r>
              <w:t xml:space="preserve">14.5</w:t>
            </w:r>
          </w:p>
        </w:tc>
        <w:tc>
          <w:tcPr>
            <w:tcW w:w="1000" w:type="dxa"/>
          </w:tcPr>
          <w:p>
            <w:r>
              <w:t xml:space="preserve">2.5</w:t>
            </w:r>
          </w:p>
        </w:tc>
        <w:tc>
          <w:tcPr>
            <w:tcW w:w="1000" w:type="dxa"/>
          </w:tcPr>
          <w:p>
            <w:r>
              <w:t xml:space="preserve">6.25</w:t>
            </w:r>
          </w:p>
        </w:tc>
      </w:tr>
      <w:tr>
        <w:tc>
          <w:tcPr>
            <w:tcW w:w="1000" w:type="dxa"/>
          </w:tcPr>
          <w:p>
            <w:r>
              <w:t xml:space="preserve">∑</w:t>
            </w:r>
          </w:p>
        </w:tc>
        <w:tc>
          <w:tcPr>
            <w:tcW w:w="1000" w:type="dxa"/>
          </w:tcPr>
          <w:p>
            <w:r>
              <w:t xml:space="preserve">15</w:t>
            </w:r>
          </w:p>
        </w:tc>
        <w:tc>
          <w:tcPr>
            <w:tcW w:w="1000" w:type="dxa"/>
          </w:tcPr>
          <w:p>
            <w:r>
              <w:t xml:space="preserve">15</w:t>
            </w:r>
          </w:p>
        </w:tc>
        <w:tc>
          <w:tcPr>
            <w:tcW w:w="1000" w:type="dxa"/>
          </w:tcPr>
          <w:p>
            <w:r>
              <w:t xml:space="preserve">15</w:t>
            </w:r>
          </w:p>
        </w:tc>
        <w:tc>
          <w:tcPr>
            <w:tcW w:w="1000" w:type="dxa"/>
          </w:tcPr>
          <w:p>
            <w:r>
              <w:t xml:space="preserve">15</w:t>
            </w:r>
          </w:p>
        </w:tc>
        <w:tc>
          <w:tcPr>
            <w:tcW w:w="1000" w:type="dxa"/>
          </w:tcPr>
          <w:p>
            <w:r>
              <w:t xml:space="preserve">60</w:t>
            </w:r>
          </w:p>
        </w:tc>
        <w:tc>
          <w:tcPr>
            <w:tcW w:w="1000" w:type="dxa"/>
          </w:tcPr>
          <w:p>
            <w:r>
              <w:t xml:space="preserve"> </w:t>
            </w:r>
          </w:p>
        </w:tc>
        <w:tc>
          <w:tcPr>
            <w:tcW w:w="1000" w:type="dxa"/>
          </w:tcPr>
          <w:p>
            <w:r>
              <w:t xml:space="preserve">71</w:t>
            </w:r>
          </w:p>
        </w:tc>
      </w:tr>
    </w:tbl>
    <w:p>
      <w:pPr>
        <w:pStyle w:val="pStyle"/>
      </w:pPr>
      <w:r>
        <w:t xml:space="preserve">где</w:t>
      </w:r>
    </w:p>
    <w:p>
      <m:oMathPara>
        <m:oMath>
          <m:r>
            <m:t>d = </m:t>
          </m:r>
          <m:nary>
            <m:naryPr>
              <m:chr m:val="∑"/>
              <m:limLoc m:val="undOvr"/>
              <m:subHide m:val="1"/>
              <m:supHide m:val="1"/>
            </m:naryPr>
            <m:sub/>
            <m:sup/>
            <m:e>
              <m:sSub>
                <m:e>
                  <m:r>
                    <m:t>x</m:t>
                  </m:r>
                </m:e>
                <m:sub>
                  <m:r>
                    <m:t>ij</m:t>
                  </m:r>
                </m:sub>
              </m:sSub>
            </m:e>
          </m:nary>
          <m:r>
            <m:t> - </m:t>
          </m:r>
          <m:f>
            <m:num>
              <m:nary>
                <m:naryPr>
                  <m:chr m:val="∑"/>
                  <m:limLoc m:val="undOvr"/>
                  <m:subHide m:val="1"/>
                  <m:supHide m:val="1"/>
                </m:naryPr>
                <m:sub/>
                <m:sup/>
                <m:e>
                  <m:nary>
                    <m:naryPr>
                      <m:chr m:val="∑"/>
                      <m:limLoc m:val="undOvr"/>
                      <m:subHide m:val="1"/>
                      <m:supHide m:val="1"/>
                    </m:naryPr>
                    <m:sub/>
                    <m:sup/>
                    <m:e>
                      <m:sSub>
                        <m:e>
                          <m:r>
                            <m:t>x</m:t>
                          </m:r>
                        </m:e>
                        <m:sub>
                          <m:r>
                            <m:t>ij</m:t>
                          </m:r>
                        </m:sub>
                      </m:sSub>
                    </m:e>
                  </m:nary>
                </m:e>
              </m:nary>
            </m:num>
            <m:den>
              <m:r>
                <m:t>n</m:t>
              </m:r>
            </m:den>
          </m:f>
          <m:r>
            <m:t> = </m:t>
          </m:r>
          <m:nary>
            <m:naryPr>
              <m:chr m:val="∑"/>
              <m:limLoc m:val="undOvr"/>
              <m:subHide m:val="1"/>
              <m:supHide m:val="1"/>
            </m:naryPr>
            <m:sub/>
            <m:sup/>
            <m:e>
              <m:sSub>
                <m:e>
                  <m:r>
                    <m:t>x</m:t>
                  </m:r>
                </m:e>
                <m:sub>
                  <m:r>
                    <m:t>ij</m:t>
                  </m:r>
                </m:sub>
              </m:sSub>
            </m:e>
          </m:nary>
          <m:r>
            <m:t> - 12</m:t>
          </m:r>
        </m:oMath>
      </m:oMathPara>
    </w:p>
    <w:p>
      <w:pPr>
        <w:pStyle w:val="pStyle"/>
      </w:pPr>
      <w:r>
        <w:t xml:space="preserve">Проверка правильности составления матрицы на основе исчисления контрольной суммы:</w:t>
      </w:r>
    </w:p>
    <w:p>
      <m:oMathPara>
        <m:oMath>
          <m:nary>
            <m:naryPr>
              <m:chr m:val="∑"/>
              <m:limLoc m:val="undOvr"/>
              <m:subHide m:val="1"/>
              <m:supHide m:val="1"/>
            </m:naryPr>
            <m:sub/>
            <m:sup/>
            <m:e>
              <m:sSub>
                <m:e>
                  <m:r>
                    <m:t>x</m:t>
                  </m:r>
                </m:e>
                <m:sub>
                  <m:r>
                    <m:t>ij</m:t>
                  </m:r>
                </m:sub>
              </m:sSub>
            </m:e>
          </m:nary>
          <m:r>
            <m:t> = </m:t>
          </m:r>
          <m:f>
            <m:num>
              <m:r>
                <m:t>(1+n)n</m:t>
              </m:r>
            </m:num>
            <m:den>
              <m:r>
                <m:t>2</m:t>
              </m:r>
            </m:den>
          </m:f>
          <m:r>
            <m:t> = </m:t>
          </m:r>
          <m:f>
            <m:num>
              <m:r>
                <m:t>(1+5)5</m:t>
              </m:r>
            </m:num>
            <m:den>
              <m:r>
                <m:t>2</m:t>
              </m:r>
            </m:den>
          </m:f>
          <m:r>
            <m:t> = 15</m:t>
          </m:r>
        </m:oMath>
      </m:oMathPara>
    </w:p>
    <w:p>
      <w:pPr>
        <w:pStyle w:val="pStyle"/>
      </w:pPr>
      <w:r>
        <w:t xml:space="preserve">Сумма по столбцам матрицы равны между собой и контрольной суммы, значит, матрица составлена правильно.</w:t>
      </w:r>
    </w:p>
    <w:p>
      <w:pPr>
        <w:pStyle w:val="pStyle"/>
      </w:pPr>
      <w:r>
        <w:t xml:space="preserve">Этап 4. Анализ значимости исследуемых факторов.</w:t>
      </w:r>
    </w:p>
    <w:p>
      <w:pPr>
        <w:pStyle w:val="pStyle"/>
      </w:pPr>
      <w:r>
        <w:t xml:space="preserve">В данном примере факторы по значимости распределились следующим образом (табл.).</w:t>
      </w:r>
    </w:p>
    <w:p>
      <w:pPr>
        <w:pStyle w:val="pStyle"/>
      </w:pPr>
      <w:r>
        <w:t xml:space="preserve">Расположение факторов по значимости</w:t>
      </w:r>
    </w:p>
    <w:tbl>
      <w:tblPr>
        <w:tblStyle w:val="myOwnTableStyle"/>
        <w:jc w:val="center"/>
      </w:tblPr>
      <w:tr>
        <w:tc>
          <w:tcPr>
            <w:tcW w:w="1500" w:type="dxa"/>
          </w:tcPr>
          <w:p>
            <w:r>
              <w:t xml:space="preserve">Факторы</w:t>
            </w:r>
          </w:p>
        </w:tc>
        <w:tc>
          <w:tcPr>
            <w:tcW w:w="1500" w:type="dxa"/>
          </w:tcPr>
          <w:p>
            <w:r>
              <w:t xml:space="preserve">Сумма рангов</w:t>
            </w:r>
          </w:p>
        </w:tc>
      </w:tr>
      <w:tr>
        <w:tc>
          <w:tcPr>
            <w:tcW w:w="1500" w:type="dxa"/>
          </w:tcPr>
          <w:p>
            <w:r>
              <w:t xml:space="preserve">x</w:t>
            </w:r>
            <w:r>
              <w:rPr>
                <w:vertAlign w:val="subscript"/>
              </w:rPr>
              <w:t>1</w:t>
            </w:r>
          </w:p>
        </w:tc>
        <w:tc>
          <w:tcPr>
            <w:tcW w:w="1500" w:type="dxa"/>
          </w:tcPr>
          <w:p>
            <w:r>
              <w:t xml:space="preserve">5.5</w:t>
            </w:r>
          </w:p>
        </w:tc>
      </w:tr>
      <w:tr>
        <w:tc>
          <w:tcPr>
            <w:tcW w:w="1500" w:type="dxa"/>
          </w:tcPr>
          <w:p>
            <w:r>
              <w:t xml:space="preserve">x</w:t>
            </w:r>
            <w:r>
              <w:rPr>
                <w:vertAlign w:val="subscript"/>
              </w:rPr>
              <w:t>3</w:t>
            </w:r>
          </w:p>
        </w:tc>
        <w:tc>
          <w:tcPr>
            <w:tcW w:w="1500" w:type="dxa"/>
          </w:tcPr>
          <w:p>
            <w:r>
              <w:t xml:space="preserve">10</w:t>
            </w:r>
          </w:p>
        </w:tc>
      </w:tr>
      <w:tr>
        <w:tc>
          <w:tcPr>
            <w:tcW w:w="1500" w:type="dxa"/>
          </w:tcPr>
          <w:p>
            <w:r>
              <w:t xml:space="preserve">x</w:t>
            </w:r>
            <w:r>
              <w:rPr>
                <w:vertAlign w:val="subscript"/>
              </w:rPr>
              <w:t>4</w:t>
            </w:r>
          </w:p>
        </w:tc>
        <w:tc>
          <w:tcPr>
            <w:tcW w:w="1500" w:type="dxa"/>
          </w:tcPr>
          <w:p>
            <w:r>
              <w:t xml:space="preserve">14.5</w:t>
            </w:r>
          </w:p>
        </w:tc>
      </w:tr>
      <w:tr>
        <w:tc>
          <w:tcPr>
            <w:tcW w:w="1500" w:type="dxa"/>
          </w:tcPr>
          <w:p>
            <w:r>
              <w:t xml:space="preserve">x</w:t>
            </w:r>
            <w:r>
              <w:rPr>
                <w:vertAlign w:val="subscript"/>
              </w:rPr>
              <w:t>5</w:t>
            </w:r>
          </w:p>
        </w:tc>
        <w:tc>
          <w:tcPr>
            <w:tcW w:w="1500" w:type="dxa"/>
          </w:tcPr>
          <w:p>
            <w:r>
              <w:t xml:space="preserve">14.5</w:t>
            </w:r>
          </w:p>
        </w:tc>
      </w:tr>
      <w:tr>
        <w:tc>
          <w:tcPr>
            <w:tcW w:w="1500" w:type="dxa"/>
          </w:tcPr>
          <w:p>
            <w:r>
              <w:t xml:space="preserve">x</w:t>
            </w:r>
            <w:r>
              <w:rPr>
                <w:vertAlign w:val="subscript"/>
              </w:rPr>
              <w:t>2</w:t>
            </w:r>
          </w:p>
        </w:tc>
        <w:tc>
          <w:tcPr>
            <w:tcW w:w="1500" w:type="dxa"/>
          </w:tcPr>
          <w:p>
            <w:r>
              <w:t xml:space="preserve">15.5</w:t>
            </w:r>
          </w:p>
        </w:tc>
      </w:tr>
    </w:tbl>
    <w:p>
      <w:pPr>
        <w:pStyle w:val="pStyle"/>
      </w:pPr>
      <w:r>
        <w:t xml:space="preserve">Этап 5. Оценка средней степени согласованности мнений всех экспертов.</w:t>
      </w:r>
    </w:p>
    <w:p>
      <w:pPr>
        <w:pStyle w:val="pStyle"/>
      </w:pPr>
      <w:r>
        <w:t xml:space="preserve">Воспользуемся коэффициентом конкордации для случая, когда имеются связанные ранги (одинаковые значения рангов в оценках одного эксперта):</w:t>
      </w:r>
    </w:p>
    <w:p>
      <w:r>
        <w:t xml:space="preserve">
          <m:r>
            <m:t>W = </m:t>
          </m:r>
        </w:t>
      </w:r>
      <m:oMathPara>
        <m:oMath>
          <m:f>
            <m:num>
              <m:r>
                <m:t>S</m:t>
              </m:r>
            </m:num>
            <m:den>
              <m:f>
                <m:num>
                  <m:r>
                    <m:t>1</m:t>
                  </m:r>
                </m:num>
                <m:den>
                  <m:r>
                    <m:t>12</m:t>
                  </m:r>
                </m:den>
              </m:f>
              <m:sSup>
                <m:e>
                  <m:r>
                    <m:t>∙m</m:t>
                  </m:r>
                </m:e>
                <m:sup>
                  <m:r>
                    <m:t>2</m:t>
                  </m:r>
                </m:sup>
              </m:sSup>
              <m:sSup>
                <m:e>
                  <m:r>
                    <m:t>(n</m:t>
                  </m:r>
                </m:e>
                <m:sup>
                  <m:r>
                    <m:t>3</m:t>
                  </m:r>
                </m:sup>
              </m:sSup>
              <m:r>
                <m:t>-n)-m∙</m:t>
              </m:r>
              <m:nary>
                <m:naryPr>
                  <m:chr m:val="∑"/>
                  <m:limLoc m:val="undOvr"/>
                  <m:subHide m:val="1"/>
                  <m:supHide m:val="1"/>
                </m:naryPr>
                <m:sub/>
                <m:sup/>
                <m:e>
                  <m:sSub>
                    <m:e>
                      <m:r>
                        <m:t>T</m:t>
                      </m:r>
                    </m:e>
                    <m:sub>
                      <m:r>
                        <m:t>i</m:t>
                      </m:r>
                    </m:sub>
                  </m:sSub>
                </m:e>
              </m:nary>
            </m:den>
          </m:f>
        </m:oMath>
      </m:oMathPara>
    </w:p>
    <w:p>
      <w:pPr>
        <w:pStyle w:val="pStyle"/>
      </w:pPr>
      <w:r>
        <w:t xml:space="preserve">где S = 71, n = 5, m = 4</w:t>
      </w:r>
    </w:p>
    <w:p>
      <m:oMathPara>
        <m:oMath>
          <m:sSub>
            <m:e>
              <m:r>
                <m:t>T</m:t>
              </m:r>
            </m:e>
            <m:sub>
              <m:r>
                <m:t>i</m:t>
              </m:r>
            </m:sub>
          </m:sSub>
          <m:r>
            <m:t> = </m:t>
          </m:r>
          <m:f>
            <m:num>
              <m:r>
                <m:t>1</m:t>
              </m:r>
            </m:num>
            <m:den>
              <m:r>
                <m:t>12</m:t>
              </m:r>
            </m:den>
          </m:f>
          <m:r>
            <m:t>∙</m:t>
          </m:r>
          <m:nary>
            <m:naryPr>
              <m:chr m:val="∑"/>
              <m:limLoc m:val="undOvr"/>
              <m:subHide m:val="1"/>
              <m:supHide m:val="1"/>
            </m:naryPr>
            <m:sub/>
            <m:sup/>
            <m:e>
              <m:r>
                <m:t>(</m:t>
              </m:r>
              <m:sSubSup>
                <m:e>
                  <m:r>
                    <m:t>t</m:t>
                  </m:r>
                </m:e>
                <m:sub>
                  <m:r>
                    <m:t>l</m:t>
                  </m:r>
                </m:sub>
                <m:sup>
                  <m:r>
                    <m:t>3</m:t>
                  </m:r>
                </m:sup>
              </m:sSubSup>
              <m:r>
                <m:t>-</m:t>
              </m:r>
              <m:sSub>
                <m:e>
                  <m:r>
                    <m:t>t</m:t>
                  </m:r>
                </m:e>
                <m:sub>
                  <m:r>
                    <m:t>l</m:t>
                  </m:r>
                </m:sub>
              </m:sSub>
              <m:r>
                <m:t>)</m:t>
              </m:r>
            </m:e>
          </m:nary>
        </m:oMath>
      </m:oMathPara>
    </w:p>
    <w:p>
      <w:pPr>
        <w:pStyle w:val="pStyle"/>
      </w:pPr>
      <w:r>
        <w:t xml:space="preserve">L</w:t>
      </w:r>
      <w:r>
        <w:rPr>
          <w:vertAlign w:val="subscript"/>
        </w:rPr>
        <w:t>i</w:t>
      </w:r>
      <w:r>
        <w:t xml:space="preserve"> - число связок (видов повторяющихся элементов) в оценках i-го эксперта, t</w:t>
      </w:r>
      <w:r>
        <w:rPr>
          <w:vertAlign w:val="subscript"/>
        </w:rPr>
        <w:t>l</w:t>
      </w:r>
      <w:r>
        <w:t xml:space="preserve">  - количество элементов в l-й связке для i-го эксперта (количество повторяющихся элементов).</w:t>
      </w:r>
    </w:p>
    <w:p>
      <w:pPr>
        <w:pStyle w:val="pStyle"/>
      </w:pPr>
      <w:r>
        <w:t xml:space="preserve">T</w:t>
      </w:r>
      <w:r>
        <w:rPr>
          <w:vertAlign w:val="subscript"/>
        </w:rPr>
        <w:t>2</w:t>
      </w:r>
      <w:r>
        <w:t xml:space="preserve"> = [(3</w:t>
      </w:r>
      <w:r>
        <w:rPr>
          <w:vertAlign w:val="superscript"/>
        </w:rPr>
        <w:t>3</w:t>
      </w:r>
      <w:r>
        <w:t xml:space="preserve">-3)]/12 = 2</w:t>
      </w:r>
    </w:p>
    <w:p>
      <w:pPr>
        <w:pStyle w:val="pStyle"/>
      </w:pPr>
      <w:r>
        <w:t xml:space="preserve">T</w:t>
      </w:r>
      <w:r>
        <w:rPr>
          <w:vertAlign w:val="subscript"/>
        </w:rPr>
        <w:t>3</w:t>
      </w:r>
      <w:r>
        <w:t xml:space="preserve"> = [(2</w:t>
      </w:r>
      <w:r>
        <w:rPr>
          <w:vertAlign w:val="superscript"/>
        </w:rPr>
        <w:t>3</w:t>
      </w:r>
      <w:r>
        <w:t xml:space="preserve">-2) + (2</w:t>
      </w:r>
      <w:r>
        <w:rPr>
          <w:vertAlign w:val="superscript"/>
        </w:rPr>
        <w:t>3</w:t>
      </w:r>
      <w:r>
        <w:t xml:space="preserve">-2)]/12 = 1</w:t>
      </w:r>
    </w:p>
    <w:p>
      <w:pPr>
        <w:pStyle w:val="pStyle"/>
      </w:pPr>
      <w:r>
        <w:t xml:space="preserve">∑T</w:t>
      </w:r>
      <w:r>
        <w:rPr>
          <w:vertAlign w:val="subscript"/>
        </w:rPr>
        <w:t>i</w:t>
      </w:r>
      <w:r>
        <w:t xml:space="preserve"> = 2 + 1 = 3</w:t>
      </w:r>
    </w:p>
    <w:p>
      <m:oMathPara>
        <m:oMath>
          <m:r>
            <m:t>W</m:t>
          </m:r>
        </m:oMath>
      </m:oMathPara>
      <m:oMathPara>
        <m:oMath>
          <m:r>
            <m:t>=</m:t>
          </m:r>
        </m:oMath>
      </m:oMathPara>
      <m:oMathPara>
        <m:oMath>
          <m:f>
            <m:num>
              <m:r>
                <m:t>71</m:t>
              </m:r>
            </m:num>
            <m:den>
              <m:f>
                <m:num>
                  <m:r>
                    <m:t>1</m:t>
                  </m:r>
                </m:num>
                <m:den>
                  <m:r>
                    <m:t>12</m:t>
                  </m:r>
                </m:den>
              </m:f>
              <m:sSup>
                <m:e>
                  <m:r>
                    <m:t>∙4</m:t>
                  </m:r>
                </m:e>
                <m:sup>
                  <m:r>
                    <m:t>2</m:t>
                  </m:r>
                </m:sup>
              </m:sSup>
              <m:sSup>
                <m:e>
                  <m:r>
                    <m:t>(5</m:t>
                  </m:r>
                </m:e>
                <m:sup>
                  <m:r>
                    <m:t>3</m:t>
                  </m:r>
                </m:sup>
              </m:sSup>
              <m:r>
                <m:t>-5)-4∙3</m:t>
              </m:r>
            </m:den>
          </m:f>
        </m:oMath>
      </m:oMathPara>
      <m:oMathPara>
        <m:oMath>
          <m:r>
            <m:t>=</m:t>
          </m:r>
        </m:oMath>
      </m:oMathPara>
      <m:oMathPara>
        <m:oMath>
          <m:r>
            <m:t>0.48</m:t>
          </m:r>
        </m:oMath>
      </m:oMathPara>
    </w:p>
    <w:p>
      <w:pPr>
        <w:pStyle w:val="pStyle"/>
      </w:pPr>
      <w:r>
        <w:t xml:space="preserve">W = 0.48 говорит о наличии слабой степени согласованности мнений экспертов.</w:t>
      </w:r>
    </w:p>
    <w:p>
      <w:pPr>
        <w:pStyle w:val="pStyle"/>
      </w:pPr>
      <w:r>
        <w:t xml:space="preserve">Этап 7. Подготовка решения экспертной комиссии.</w:t>
      </w:r>
    </w:p>
    <w:p>
      <w:pPr>
        <w:pStyle w:val="pStyle"/>
      </w:pPr>
      <w:r>
        <w:t xml:space="preserve">На основе получения суммы рангов (табл.) можно вычислить показатели весомости рассмотренных параметров. Матрицу опроса преобразуем в матрицу преобразованных рангов по формуле s</w:t>
      </w:r>
      <w:r>
        <w:rPr>
          <w:vertAlign w:val="subscript"/>
        </w:rPr>
        <w:t>ij</w:t>
      </w:r>
      <w:r>
        <w:t xml:space="preserve"> = x</w:t>
      </w:r>
      <w:r>
        <w:rPr>
          <w:vertAlign w:val="subscript"/>
        </w:rPr>
        <w:t>max</w:t>
      </w:r>
      <w:r>
        <w:t xml:space="preserve"> - x</w:t>
      </w:r>
      <w:r>
        <w:rPr>
          <w:vertAlign w:val="subscript"/>
        </w:rPr>
        <w:t>ij</w:t>
      </w:r>
      <w:r>
        <w:t xml:space="preserve">.</w:t>
      </w:r>
    </w:p>
    <w:p>
      <w:pPr>
        <w:pStyle w:val="pStyle"/>
      </w:pPr>
      <w:r>
        <w:t xml:space="preserve">где x</w:t>
      </w:r>
      <w:r>
        <w:rPr>
          <w:vertAlign w:val="subscript"/>
        </w:rPr>
        <w:t>max</w:t>
      </w:r>
      <w:r>
        <w:t xml:space="preserve"> = 5</w:t>
      </w:r>
    </w:p>
    <w:p>
      <w:pPr>
        <w:pStyle w:val="pStyle"/>
      </w:pPr>
      <w:r>
        <w:t xml:space="preserve">Матрица преобразованных рангов</w:t>
      </w:r>
    </w:p>
    <w:tbl>
      <w:tblPr>
        <w:tblStyle w:val="myOwnTableStyle"/>
        <w:jc w:val="center"/>
      </w:tblPr>
      <w:tr>
        <w:tc>
          <w:tcPr>
            <w:tcW w:w="1200" w:type="dxa"/>
          </w:tcPr>
          <w:p>
            <w:r>
              <w:t xml:space="preserve">№ п.п. / Эксперты</w:t>
            </w:r>
          </w:p>
        </w:tc>
        <w:tc>
          <w:tcPr>
            <w:tcW w:w="1200" w:type="dxa"/>
          </w:tcPr>
          <w:p>
            <w:r>
              <w:t xml:space="preserve">1</w:t>
            </w:r>
          </w:p>
        </w:tc>
        <w:tc>
          <w:tcPr>
            <w:tcW w:w="1200" w:type="dxa"/>
          </w:tcPr>
          <w:p>
            <w:r>
              <w:t xml:space="preserve">2</w:t>
            </w:r>
          </w:p>
        </w:tc>
        <w:tc>
          <w:tcPr>
            <w:tcW w:w="1200" w:type="dxa"/>
          </w:tcPr>
          <w:p>
            <w:r>
              <w:t xml:space="preserve">3</w:t>
            </w:r>
          </w:p>
        </w:tc>
        <w:tc>
          <w:tcPr>
            <w:tcW w:w="1200" w:type="dxa"/>
          </w:tcPr>
          <w:p>
            <w:r>
              <w:t xml:space="preserve">4</w:t>
            </w:r>
          </w:p>
        </w:tc>
        <w:tc>
          <w:tcPr>
            <w:tcW w:w="1200" w:type="dxa"/>
          </w:tcPr>
          <w:p>
            <w:r>
              <w:t xml:space="preserve">∑</w:t>
            </w:r>
          </w:p>
        </w:tc>
        <w:tc>
          <w:tcPr>
            <w:tcW w:w="1200" w:type="dxa"/>
          </w:tcPr>
          <w:p>
            <w:r>
              <w:t xml:space="preserve">Вес λ</w:t>
            </w:r>
          </w:p>
        </w:tc>
      </w:tr>
      <w:tr>
        <w:tc>
          <w:tcPr>
            <w:tcW w:w="1200" w:type="dxa"/>
          </w:tcPr>
          <w:p>
            <w:r>
              <w:t xml:space="preserve">1</w:t>
            </w:r>
          </w:p>
        </w:tc>
        <w:tc>
          <w:tcPr>
            <w:tcW w:w="1200" w:type="dxa"/>
          </w:tcPr>
          <w:p>
            <w:r>
              <w:t xml:space="preserve">3</w:t>
            </w:r>
          </w:p>
        </w:tc>
        <w:tc>
          <w:tcPr>
            <w:tcW w:w="1200" w:type="dxa"/>
          </w:tcPr>
          <w:p>
            <w:r>
              <w:t xml:space="preserve">4</w:t>
            </w:r>
          </w:p>
        </w:tc>
        <w:tc>
          <w:tcPr>
            <w:tcW w:w="1200" w:type="dxa"/>
          </w:tcPr>
          <w:p>
            <w:r>
              <w:t xml:space="preserve">3</w:t>
            </w:r>
          </w:p>
        </w:tc>
        <w:tc>
          <w:tcPr>
            <w:tcW w:w="1200" w:type="dxa"/>
          </w:tcPr>
          <w:p>
            <w:r>
              <w:t xml:space="preserve">4</w:t>
            </w:r>
          </w:p>
        </w:tc>
        <w:tc>
          <w:tcPr>
            <w:tcW w:w="1200" w:type="dxa"/>
          </w:tcPr>
          <w:p>
            <w:r>
              <w:t xml:space="preserve">14</w:t>
            </w:r>
          </w:p>
        </w:tc>
        <w:tc>
          <w:tcPr>
            <w:tcW w:w="1200" w:type="dxa"/>
          </w:tcPr>
          <w:p>
            <w:r>
              <w:t xml:space="preserve">0.3784</w:t>
            </w:r>
          </w:p>
        </w:tc>
      </w:tr>
      <w:tr>
        <w:tc>
          <w:tcPr>
            <w:tcW w:w="1200" w:type="dxa"/>
          </w:tcPr>
          <w:p>
            <w:r>
              <w:t xml:space="preserve">2</w:t>
            </w:r>
          </w:p>
        </w:tc>
        <w:tc>
          <w:tcPr>
            <w:tcW w:w="1200" w:type="dxa"/>
          </w:tcPr>
          <w:p>
            <w:r>
              <w:t xml:space="preserve">2</w:t>
            </w:r>
          </w:p>
        </w:tc>
        <w:tc>
          <w:tcPr>
            <w:tcW w:w="1200" w:type="dxa"/>
          </w:tcPr>
          <w:p>
            <w:r>
              <w:t xml:space="preserve">1</w:t>
            </w:r>
          </w:p>
        </w:tc>
        <w:tc>
          <w:tcPr>
            <w:tcW w:w="1200" w:type="dxa"/>
          </w:tcPr>
          <w:p>
            <w:r>
              <w:t xml:space="preserve">0</w:t>
            </w:r>
          </w:p>
        </w:tc>
        <w:tc>
          <w:tcPr>
            <w:tcW w:w="1200" w:type="dxa"/>
          </w:tcPr>
          <w:p>
            <w:r>
              <w:t xml:space="preserve">1</w:t>
            </w:r>
          </w:p>
        </w:tc>
        <w:tc>
          <w:tcPr>
            <w:tcW w:w="1200" w:type="dxa"/>
          </w:tcPr>
          <w:p>
            <w:r>
              <w:t xml:space="preserve">4</w:t>
            </w:r>
          </w:p>
        </w:tc>
        <w:tc>
          <w:tcPr>
            <w:tcW w:w="1200" w:type="dxa"/>
          </w:tcPr>
          <w:p>
            <w:r>
              <w:t xml:space="preserve">0.1081</w:t>
            </w:r>
          </w:p>
        </w:tc>
      </w:tr>
      <w:tr>
        <w:tc>
          <w:tcPr>
            <w:tcW w:w="1200" w:type="dxa"/>
          </w:tcPr>
          <w:p>
            <w:r>
              <w:t xml:space="preserve">3</w:t>
            </w:r>
          </w:p>
        </w:tc>
        <w:tc>
          <w:tcPr>
            <w:tcW w:w="1200" w:type="dxa"/>
          </w:tcPr>
          <w:p>
            <w:r>
              <w:t xml:space="preserve">4</w:t>
            </w:r>
          </w:p>
        </w:tc>
        <w:tc>
          <w:tcPr>
            <w:tcW w:w="1200" w:type="dxa"/>
          </w:tcPr>
          <w:p>
            <w:r>
              <w:t xml:space="preserve">1</w:t>
            </w:r>
          </w:p>
        </w:tc>
        <w:tc>
          <w:tcPr>
            <w:tcW w:w="1200" w:type="dxa"/>
          </w:tcPr>
          <w:p>
            <w:r>
              <w:t xml:space="preserve">2</w:t>
            </w:r>
          </w:p>
        </w:tc>
        <w:tc>
          <w:tcPr>
            <w:tcW w:w="1200" w:type="dxa"/>
          </w:tcPr>
          <w:p>
            <w:r>
              <w:t xml:space="preserve">3</w:t>
            </w:r>
          </w:p>
        </w:tc>
        <w:tc>
          <w:tcPr>
            <w:tcW w:w="1200" w:type="dxa"/>
          </w:tcPr>
          <w:p>
            <w:r>
              <w:t xml:space="preserve">10</w:t>
            </w:r>
          </w:p>
        </w:tc>
        <w:tc>
          <w:tcPr>
            <w:tcW w:w="1200" w:type="dxa"/>
          </w:tcPr>
          <w:p>
            <w:r>
              <w:t xml:space="preserve">0.2703</w:t>
            </w:r>
          </w:p>
        </w:tc>
      </w:tr>
      <w:tr>
        <w:tc>
          <w:tcPr>
            <w:tcW w:w="1200" w:type="dxa"/>
          </w:tcPr>
          <w:p>
            <w:r>
              <w:t xml:space="preserve">4</w:t>
            </w:r>
          </w:p>
        </w:tc>
        <w:tc>
          <w:tcPr>
            <w:tcW w:w="1200" w:type="dxa"/>
          </w:tcPr>
          <w:p>
            <w:r>
              <w:t xml:space="preserve">0</w:t>
            </w:r>
          </w:p>
        </w:tc>
        <w:tc>
          <w:tcPr>
            <w:tcW w:w="1200" w:type="dxa"/>
          </w:tcPr>
          <w:p>
            <w:r>
              <w:t xml:space="preserve">2</w:t>
            </w:r>
          </w:p>
        </w:tc>
        <w:tc>
          <w:tcPr>
            <w:tcW w:w="1200" w:type="dxa"/>
          </w:tcPr>
          <w:p>
            <w:r>
              <w:t xml:space="preserve">0</w:t>
            </w:r>
          </w:p>
        </w:tc>
        <w:tc>
          <w:tcPr>
            <w:tcW w:w="1200" w:type="dxa"/>
          </w:tcPr>
          <w:p>
            <w:r>
              <w:t xml:space="preserve">2</w:t>
            </w:r>
          </w:p>
        </w:tc>
        <w:tc>
          <w:tcPr>
            <w:tcW w:w="1200" w:type="dxa"/>
          </w:tcPr>
          <w:p>
            <w:r>
              <w:t xml:space="preserve">4</w:t>
            </w:r>
          </w:p>
        </w:tc>
        <w:tc>
          <w:tcPr>
            <w:tcW w:w="1200" w:type="dxa"/>
          </w:tcPr>
          <w:p>
            <w:r>
              <w:t xml:space="preserve">0.1081</w:t>
            </w:r>
          </w:p>
        </w:tc>
      </w:tr>
      <w:tr>
        <w:tc>
          <w:tcPr>
            <w:tcW w:w="1200" w:type="dxa"/>
          </w:tcPr>
          <w:p>
            <w:r>
              <w:t xml:space="preserve">5</w:t>
            </w:r>
          </w:p>
        </w:tc>
        <w:tc>
          <w:tcPr>
            <w:tcW w:w="1200" w:type="dxa"/>
          </w:tcPr>
          <w:p>
            <w:r>
              <w:t xml:space="preserve">1</w:t>
            </w:r>
          </w:p>
        </w:tc>
        <w:tc>
          <w:tcPr>
            <w:tcW w:w="1200" w:type="dxa"/>
          </w:tcPr>
          <w:p>
            <w:r>
              <w:t xml:space="preserve">1</w:t>
            </w:r>
          </w:p>
        </w:tc>
        <w:tc>
          <w:tcPr>
            <w:tcW w:w="1200" w:type="dxa"/>
          </w:tcPr>
          <w:p>
            <w:r>
              <w:t xml:space="preserve">3</w:t>
            </w:r>
          </w:p>
        </w:tc>
        <w:tc>
          <w:tcPr>
            <w:tcW w:w="1200" w:type="dxa"/>
          </w:tcPr>
          <w:p>
            <w:r>
              <w:t xml:space="preserve">0</w:t>
            </w:r>
          </w:p>
        </w:tc>
        <w:tc>
          <w:tcPr>
            <w:tcW w:w="1200" w:type="dxa"/>
          </w:tcPr>
          <w:p>
            <w:r>
              <w:t xml:space="preserve">5</w:t>
            </w:r>
          </w:p>
        </w:tc>
        <w:tc>
          <w:tcPr>
            <w:tcW w:w="1200" w:type="dxa"/>
          </w:tcPr>
          <w:p>
            <w:r>
              <w:t xml:space="preserve">0.1351</w:t>
            </w:r>
          </w:p>
        </w:tc>
      </w:tr>
      <w:tr>
        <w:tc>
          <w:tcPr>
            <w:tcW w:w="1200" w:type="dxa"/>
          </w:tcPr>
          <w:p>
            <w:r>
              <w:t xml:space="preserve">Итого</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37</w:t>
            </w:r>
          </w:p>
        </w:tc>
        <w:tc>
          <w:tcPr>
            <w:tcW w:w="1200" w:type="dxa"/>
          </w:tcPr>
          <w:p>
            <w:r>
              <w:t xml:space="preserve">1</w:t>
            </w:r>
          </w:p>
        </w:tc>
      </w:tr>
    </w:tbl>
    <w:p>
      <w:pPr>
        <w:pStyle w:val="pStyle"/>
      </w:pPr>
    </w:p>
    <w:p>
      <w:pPr>
        <w:pStyle w:val="pStyle"/>
      </w:pPr>
      <w:r>
        <w:t xml:space="preserve">Решение было получено и оформлено с помощью сервиса:</w:t>
      </w:r>
    </w:p>
    <w:p>
      <w:hyperlink r:id="rId7" w:history="1">
        <w:r>
          <w:rPr>
            <w:color w:val="0000FF"/>
            <w:u w:val="single"/>
          </w:rPr>
          <w:t xml:space="preserve">Коэффициент конкордации</w:t>
        </w:r>
      </w:hyperlink>
    </w:p>
    <w:p>
      <w:pPr>
        <w:pStyle w:val="pStyle"/>
      </w:pPr>
      <w:r>
        <w:t xml:space="preserve">Вместе с этой задачей решают также:</w:t>
      </w:r>
    </w:p>
    <w:p>
      <w:hyperlink r:id="rId8" w:history="1">
        <w:r>
          <w:rPr>
            <w:color w:val="0000FF"/>
            <w:u w:val="single"/>
          </w:rPr>
          <w:t xml:space="preserve">Коэффициент корреляции Спирмена</w:t>
        </w:r>
      </w:hyperlink>
    </w:p>
    <w:p>
      <w:hyperlink r:id="rId9" w:history="1">
        <w:r>
          <w:rPr>
            <w:color w:val="0000FF"/>
            <w:u w:val="single"/>
          </w:rPr>
          <w:t xml:space="preserve">Группировка статистических данных</w:t>
        </w:r>
      </w:hyperlink>
    </w:p>
    <w:p>
      <w:hyperlink r:id="rId10" w:history="1">
        <w:r>
          <w:rPr>
            <w:color w:val="0000FF"/>
            <w:u w:val="single"/>
          </w:rPr>
          <w:t xml:space="preserve">Проверка гипотезы о виде распределения</w:t>
        </w:r>
      </w:hyperlink>
    </w:p>
    <w:p>
      <w:hyperlink r:id="rId11" w:history="1">
        <w:r>
          <w:rPr>
            <w:color w:val="0000FF"/>
            <w:u w:val="single"/>
          </w:rPr>
          <w:t xml:space="preserve">Расчет доверительного интервала</w:t>
        </w:r>
      </w:hyperlink>
    </w:p>
    <w:p>
      <w:hyperlink r:id="rId12" w:history="1">
        <w:r>
          <w:rPr>
            <w:color w:val="0000FF"/>
            <w:u w:val="single"/>
          </w:rPr>
          <w:t xml:space="preserve">Критерий Манна-Уитни</w:t>
        </w:r>
      </w:hyperlink>
    </w:p>
    <w:p>
      <w:hyperlink r:id="rId13" w:history="1">
        <w:r>
          <w:rPr>
            <w:color w:val="0000FF"/>
            <w:u w:val="single"/>
          </w:rPr>
          <w:t xml:space="preserve">Однофакторный дисперсионный анализ</w:t>
        </w:r>
      </w:hyperlink>
    </w:p>
    <w:p>
      <w:hyperlink r:id="rId14" w:history="1">
        <w:r>
          <w:rPr>
            <w:color w:val="0000FF"/>
            <w:u w:val="single"/>
          </w:rPr>
          <w:t xml:space="preserve">Двухфакторный дисперсионный анализ</w:t>
        </w:r>
      </w:hyperlink>
    </w:p>
    <w:p>
      <w:hyperlink r:id="rId15" w:history="1">
        <w:r>
          <w:rPr>
            <w:color w:val="0000FF"/>
            <w:u w:val="single"/>
          </w:rPr>
          <w:t xml:space="preserve">Проверка гипотезы о равенстве дисперсий</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paragraph" w:customStyle="1" w:styleId="tc_align">
    <w:name w:val="tc_align"/>
    <w:pPr>
      <w:jc w:val="center"/>
    </w:pPr>
  </w:style>
  <w:style w:type="paragraph" w:customStyle="1" w:styleId="eq_left">
    <w:name w:val="eq_left"/>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s://math.semestr.ru/corel/concordance.php" TargetMode="External"/>
  <Relationship Id="rId8" Type="http://schemas.openxmlformats.org/officeDocument/2006/relationships/hyperlink" Target="https://math.semestr.ru/corel/spirmen.php" TargetMode="External"/>
  <Relationship Id="rId9" Type="http://schemas.openxmlformats.org/officeDocument/2006/relationships/hyperlink" Target="https://math.semestr.ru/group/group.php" TargetMode="External"/>
  <Relationship Id="rId10" Type="http://schemas.openxmlformats.org/officeDocument/2006/relationships/hyperlink" Target="https://math.semestr.ru/group/hypothesis-testing.php" TargetMode="External"/>
  <Relationship Id="rId11" Type="http://schemas.openxmlformats.org/officeDocument/2006/relationships/hyperlink" Target="https://math.semestr.ru/group/interval.php" TargetMode="External"/>
  <Relationship Id="rId12" Type="http://schemas.openxmlformats.org/officeDocument/2006/relationships/hyperlink" Target="https://math.semestr.ru/corel/mann-whitney.php" TargetMode="External"/>
  <Relationship Id="rId13" Type="http://schemas.openxmlformats.org/officeDocument/2006/relationships/hyperlink" Target="https://math.semestr.ru/group/factor.php" TargetMode="External"/>
  <Relationship Id="rId14" Type="http://schemas.openxmlformats.org/officeDocument/2006/relationships/hyperlink" Target="https://math.semestr.ru/group/two-factor.php" TargetMode="External"/>
  <Relationship Id="rId15" Type="http://schemas.openxmlformats.org/officeDocument/2006/relationships/hyperlink" Target="https://math.semestr.ru/group/equality.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2024-03-10T13:21:00+03:00</dcterms:created>
  <dcterms:modified xsi:type="dcterms:W3CDTF">2024-03-10T13:21:00+03:00</dcterms:modified>
  <dc:title>Коэффициент конкордации</dc:title>
  <dc:description>Коэффициент конкордации</dc:description>
  <dc:subject>Коэффициент конкордации</dc:subject>
  <cp:keywords>https://math.semestr.ru/corel/concordance.php</cp:keywords>
  <cp:category>Коэффициент конкордации</cp:category>
</cp:coreProperties>
</file>