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Метод средних оценок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Подсчитаем сумму рангов, присвоенных проектам.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 </w:t>
            </w:r>
          </w:p>
        </w:tc>
        <w:tc>
          <w:tcPr>
            <w:tcW w:w="500" w:type="dxa"/>
          </w:tcPr>
          <w:p>
            <w:r>
              <w:t xml:space="preserve">A</w:t>
            </w:r>
          </w:p>
        </w:tc>
        <w:tc>
          <w:tcPr>
            <w:tcW w:w="500" w:type="dxa"/>
          </w:tcPr>
          <w:p>
            <w:r>
              <w:t xml:space="preserve">B</w:t>
            </w:r>
          </w:p>
        </w:tc>
        <w:tc>
          <w:tcPr>
            <w:tcW w:w="500" w:type="dxa"/>
          </w:tcPr>
          <w:p>
            <w:r>
              <w:t xml:space="preserve">C</w:t>
            </w:r>
          </w:p>
        </w:tc>
        <w:tc>
          <w:tcPr>
            <w:tcW w:w="500" w:type="dxa"/>
          </w:tcPr>
          <w:p>
            <w:r>
              <w:t xml:space="preserve">D</w:t>
            </w:r>
          </w:p>
        </w:tc>
      </w:t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</w:tr>
      <w:tr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  <w:tr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</w:tr>
      <w:tr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</w:tr>
      <w:tr>
        <w:tc>
          <w:tcPr>
            <w:tcW w:w="500" w:type="dxa"/>
          </w:tcPr>
          <w:p>
            <w:r>
              <w:t xml:space="preserve">Итого</w:t>
            </w:r>
          </w:p>
        </w:tc>
        <w:tc>
          <w:tcPr>
            <w:tcW w:w="500" w:type="dxa"/>
          </w:tcPr>
          <w:p>
            <w:r>
              <w:t xml:space="preserve">9</w:t>
            </w:r>
          </w:p>
        </w:tc>
        <w:tc>
          <w:tcPr>
            <w:tcW w:w="500" w:type="dxa"/>
          </w:tcPr>
          <w:p>
            <w:r>
              <w:t xml:space="preserve">12</w:t>
            </w:r>
          </w:p>
        </w:tc>
        <w:tc>
          <w:tcPr>
            <w:tcW w:w="500" w:type="dxa"/>
          </w:tcPr>
          <w:p>
            <w:r>
              <w:t xml:space="preserve">16</w:t>
            </w:r>
          </w:p>
        </w:tc>
        <w:tc>
          <w:tcPr>
            <w:tcW w:w="500" w:type="dxa"/>
          </w:tcPr>
          <w:p>
            <w:r>
              <w:t xml:space="preserve">13</w:t>
            </w:r>
          </w:p>
        </w:tc>
      </w:tr>
      <w:tr>
        <w:tc>
          <w:tcPr>
            <w:tcW w:w="500" w:type="dxa"/>
          </w:tcPr>
          <w:p>
            <w:r>
              <w:t xml:space="preserve">Ср.</w:t>
            </w:r>
          </w:p>
        </w:tc>
        <w:tc>
          <w:tcPr>
            <w:tcW w:w="500" w:type="dxa"/>
          </w:tcPr>
          <w:p>
            <w:r>
              <w:t xml:space="preserve">1.8</w:t>
            </w:r>
          </w:p>
        </w:tc>
        <w:tc>
          <w:tcPr>
            <w:tcW w:w="500" w:type="dxa"/>
          </w:tcPr>
          <w:p>
            <w:r>
              <w:t xml:space="preserve">2.4</w:t>
            </w:r>
          </w:p>
        </w:tc>
        <w:tc>
          <w:tcPr>
            <w:tcW w:w="500" w:type="dxa"/>
          </w:tcPr>
          <w:p>
            <w:r>
              <w:t xml:space="preserve">3.2</w:t>
            </w:r>
          </w:p>
        </w:tc>
        <w:tc>
          <w:tcPr>
            <w:tcW w:w="500" w:type="dxa"/>
          </w:tcPr>
          <w:p>
            <w:r>
              <w:t xml:space="preserve">2.6</w:t>
            </w:r>
          </w:p>
        </w:tc>
      </w:tr>
    </w:tbl>
    <w:p>
      <w:pPr>
        <w:pStyle w:val="pStyle"/>
      </w:pPr>
      <w:r>
        <w:t xml:space="preserve">Общую сумму разделим на число экспертов - в результате рассчитан средний арифметический ранг. По средним рангам строим итоговую ранжировку (упорядочение), исходя из принципа - чем меньше средний ранг, чем лучше проект.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N</w:t>
            </w:r>
          </w:p>
        </w:tc>
        <w:tc>
          <w:tcPr>
            <w:tcW w:w="1500" w:type="dxa"/>
          </w:tcPr>
          <w:p>
            <w:r>
              <w:t xml:space="preserve">Средняя оценка</w:t>
            </w:r>
          </w:p>
        </w:tc>
        <w:tc>
          <w:tcPr>
            <w:tcW w:w="1500" w:type="dxa"/>
          </w:tcPr>
          <w:p>
            <w:r>
              <w:t xml:space="preserve">Новый ранг</w:t>
            </w:r>
          </w:p>
        </w:tc>
      </w:tr>
      <w:tr>
        <w:tc>
          <w:tcPr>
            <w:tcW w:w="1500" w:type="dxa"/>
          </w:tcPr>
          <w:p>
            <w:r>
              <w:t xml:space="preserve">A</w:t>
            </w:r>
          </w:p>
        </w:tc>
        <w:tc>
          <w:tcPr>
            <w:tcW w:w="1500" w:type="dxa"/>
          </w:tcPr>
          <w:p>
            <w:r>
              <w:t xml:space="preserve">1.8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B</w:t>
            </w:r>
          </w:p>
        </w:tc>
        <w:tc>
          <w:tcPr>
            <w:tcW w:w="1500" w:type="dxa"/>
          </w:tcPr>
          <w:p>
            <w:r>
              <w:t xml:space="preserve">2.4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C</w:t>
            </w:r>
          </w:p>
        </w:tc>
        <w:tc>
          <w:tcPr>
            <w:tcW w:w="1500" w:type="dxa"/>
          </w:tcPr>
          <w:p>
            <w:r>
              <w:t xml:space="preserve">3.2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D</w:t>
            </w:r>
          </w:p>
        </w:tc>
        <w:tc>
          <w:tcPr>
            <w:tcW w:w="1500" w:type="dxa"/>
          </w:tcPr>
          <w:p>
            <w:r>
              <w:t xml:space="preserve">2.6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</w:tbl>
    <w:p>
      <w:pPr>
        <w:pStyle w:val="pStyle"/>
      </w:pPr>
      <w:r>
        <w:t xml:space="preserve">Итак, ранжировка по суммам рангов (по средним арифметическим рангам) имеет вид:</w:t>
      </w:r>
    </w:p>
    <w:p>
      <w:pPr>
        <w:pStyle w:val="pStyle"/>
      </w:pPr>
      <w:r>
        <w:t xml:space="preserve">A &lt; B &lt; D &lt; C</w:t>
      </w:r>
    </w:p>
    <w:p>
      <w:pPr>
        <w:pStyle w:val="pStyle"/>
      </w:pPr>
      <w:r>
        <w:t xml:space="preserve">Здесь запись типа "A &lt; B" означает, что проект A предшествует проекту B (т.е. проект A лучше проекта B).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средних оценок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Медианный метод рангов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hyperlink r:id="rId12" w:history="1">
        <w:r>
          <w:rPr>
            <w:color w:val="0000FF"/>
            <w:u w:val="single"/>
          </w:rPr>
          <w:t xml:space="preserve">Расчет доверительного интервала</w:t>
        </w:r>
      </w:hyperlink>
    </w:p>
    <w:p>
      <w:hyperlink r:id="rId13" w:history="1">
        <w:r>
          <w:rPr>
            <w:color w:val="0000FF"/>
            <w:u w:val="single"/>
          </w:rPr>
          <w:t xml:space="preserve">Критерий Манна-Уитни</w:t>
        </w:r>
      </w:hyperlink>
    </w:p>
    <w:p>
      <w:hyperlink r:id="rId14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5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6" w:history="1">
        <w:r>
          <w:rPr>
            <w:color w:val="0000FF"/>
            <w:u w:val="single"/>
          </w:rPr>
          <w:t xml:space="preserve">Проверка гипотезы о равенстве дисперсий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average-ratings.php" TargetMode="External"/>
  <Relationship Id="rId8" Type="http://schemas.openxmlformats.org/officeDocument/2006/relationships/hyperlink" Target="https://math.semestr.ru/corel/median-ratings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corel/spirmen.php" TargetMode="External"/>
  <Relationship Id="rId11" Type="http://schemas.openxmlformats.org/officeDocument/2006/relationships/hyperlink" Target="https://math.semestr.ru/corel/contingency.php" TargetMode="External"/>
  <Relationship Id="rId12" Type="http://schemas.openxmlformats.org/officeDocument/2006/relationships/hyperlink" Target="https://math.semestr.ru/group/interval.php" TargetMode="External"/>
  <Relationship Id="rId13" Type="http://schemas.openxmlformats.org/officeDocument/2006/relationships/hyperlink" Target="https://math.semestr.ru/corel/mann-whitney.php" TargetMode="External"/>
  <Relationship Id="rId14" Type="http://schemas.openxmlformats.org/officeDocument/2006/relationships/hyperlink" Target="https://math.semestr.ru/group/factor.php" TargetMode="External"/>
  <Relationship Id="rId15" Type="http://schemas.openxmlformats.org/officeDocument/2006/relationships/hyperlink" Target="https://math.semestr.ru/group/two-factor.php" TargetMode="External"/>
  <Relationship Id="rId16" Type="http://schemas.openxmlformats.org/officeDocument/2006/relationships/hyperlink" Target="https://math.semestr.ru/group/equalit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2024-11-10T06:21:00+03:00</dcterms:created>
  <dcterms:modified xsi:type="dcterms:W3CDTF">2024-11-10T06:21:00+03:00</dcterms:modified>
  <dc:title>Метод средних оценок</dc:title>
  <dc:description>Метод средних оценок</dc:description>
  <dc:subject>Метод средних оценок</dc:subject>
  <cp:keywords>https://math.semestr.ru/corel/average-ratings.php</cp:keywords>
  <cp:category>Метод средних оценок</cp:category>
</cp:coreProperties>
</file>