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Получено выборочное распределение признака «А» в зависимости от B. Результаты приведены в таблице: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A1</w:t>
            </w:r>
          </w:p>
        </w:tc>
        <w:tc>
          <w:tcPr>
            <w:tcW w:w="700" w:type="dxa"/>
          </w:tcPr>
          <w:p>
            <w:r>
              <w:t xml:space="preserve">A2</w:t>
            </w:r>
          </w:p>
        </w:tc>
        <w:tc>
          <w:tcPr>
            <w:tcW w:w="700" w:type="dxa"/>
          </w:tcPr>
          <w:p>
            <w:r>
              <w:t xml:space="preserve">A3</w:t>
            </w:r>
          </w:p>
        </w:tc>
        <w:tc>
          <w:tcPr>
            <w:tcW w:w="700" w:type="dxa"/>
          </w:tcPr>
          <w:p>
            <w:r>
              <w:t xml:space="preserve">n</w:t>
            </w:r>
            <w:r>
              <w:rPr>
                <w:vertAlign w:val="subscript"/>
              </w:rPr>
              <w:t>i∙</w:t>
            </w:r>
          </w:p>
        </w:tc>
      </w:tr>
      <w:tr>
        <w:tc>
          <w:tcPr>
            <w:tcW w:w="700" w:type="dxa"/>
          </w:tcPr>
          <w:p>
            <w:r>
              <w:t xml:space="preserve">B1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15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</w:tr>
      <w:tr>
        <w:tc>
          <w:tcPr>
            <w:tcW w:w="700" w:type="dxa"/>
          </w:tcPr>
          <w:p>
            <w:r>
              <w:t xml:space="preserve">B2</w:t>
            </w:r>
          </w:p>
        </w:tc>
        <w:tc>
          <w:tcPr>
            <w:tcW w:w="700" w:type="dxa"/>
          </w:tcPr>
          <w:p>
            <w:r>
              <w:t xml:space="preserve">22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70</w:t>
            </w:r>
          </w:p>
        </w:tc>
      </w:tr>
      <w:tr>
        <w:tc>
          <w:tcPr>
            <w:tcW w:w="700" w:type="dxa"/>
          </w:tcPr>
          <w:p>
            <w:r>
              <w:t xml:space="preserve">B3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</w:tr>
      <w:tr>
        <w:tc>
          <w:tcPr>
            <w:tcW w:w="700" w:type="dxa"/>
          </w:tcPr>
          <w:p>
            <w:r>
              <w:t xml:space="preserve">n</w:t>
            </w:r>
            <w:r>
              <w:rPr>
                <w:vertAlign w:val="subscript"/>
              </w:rPr>
              <w:t>∙j</w:t>
            </w:r>
          </w:p>
        </w:tc>
        <w:tc>
          <w:tcPr>
            <w:tcW w:w="700" w:type="dxa"/>
          </w:tcPr>
          <w:p>
            <w:r>
              <w:t xml:space="preserve">61</w:t>
            </w:r>
          </w:p>
        </w:tc>
        <w:tc>
          <w:tcPr>
            <w:tcW w:w="700" w:type="dxa"/>
          </w:tcPr>
          <w:p>
            <w:r>
              <w:t xml:space="preserve">53</w:t>
            </w:r>
          </w:p>
        </w:tc>
        <w:tc>
          <w:tcPr>
            <w:tcW w:w="700" w:type="dxa"/>
          </w:tcPr>
          <w:p>
            <w:r>
              <w:t xml:space="preserve">56</w:t>
            </w:r>
          </w:p>
        </w:tc>
        <w:tc>
          <w:tcPr>
            <w:tcW w:w="700" w:type="dxa"/>
          </w:tcPr>
          <w:p>
            <w:r>
              <w:t xml:space="preserve">170</w:t>
            </w:r>
          </w:p>
        </w:tc>
      </w:tr>
    </w:tbl>
    <w:p>
      <w:pPr>
        <w:pStyle w:val="pStyle"/>
      </w:pPr>
      <w:r>
        <w:t xml:space="preserve">Рассчитаем теоретические частоты по формуле:</w:t>
      </w:r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ij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i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j</m:t>
                  </m:r>
                </m:sub>
              </m:sSub>
            </m:num>
            <m:den>
              <m:r>
                <m:t>n</m:t>
              </m:r>
            </m:den>
          </m:f>
        </m:oMath>
      </m:oMathPara>
    </w:p>
    <w:p>
      <w:pPr>
        <w:pStyle w:val="pStyle"/>
      </w:pPr>
      <w:r>
        <w:t xml:space="preserve">для всех клеток таблицы</w:t>
      </w:r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11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</m:t>
              </m:r>
              <m:r>
                <m:t>×</m:t>
              </m:r>
              <m:r>
                <m:t>61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17.94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12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</m:t>
              </m:r>
              <m:r>
                <m:t>×</m:t>
              </m:r>
              <m:r>
                <m:t>53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15.59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13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</m:t>
              </m:r>
              <m:r>
                <m:t>×</m:t>
              </m:r>
              <m:r>
                <m:t>56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16.47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21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2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70</m:t>
              </m:r>
              <m:r>
                <m:t>×</m:t>
              </m:r>
              <m:r>
                <m:t>61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25.12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22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2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70</m:t>
              </m:r>
              <m:r>
                <m:t>×</m:t>
              </m:r>
              <m:r>
                <m:t>53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21.82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23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2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70</m:t>
              </m:r>
              <m:r>
                <m:t>×</m:t>
              </m:r>
              <m:r>
                <m:t>56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23.06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31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</m:t>
              </m:r>
              <m:r>
                <m:t>×</m:t>
              </m:r>
              <m:r>
                <m:t>61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17.94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32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</m:t>
              </m:r>
              <m:r>
                <m:t>×</m:t>
              </m:r>
              <m:r>
                <m:t>53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15.59</m:t>
          </m:r>
        </m:oMath>
      </m:oMathPara>
    </w:p>
    <w:p>
      <m:oMathPara>
        <m:oMath>
          <m:sSubSup>
            <m:sSubSupPr>
              <m:ctrlPr/>
            </m:sSubSupPr>
            <m:e>
              <m:r>
                <m:t>n</m:t>
              </m:r>
            </m:e>
            <m:sub>
              <m:r>
                <m:t>33</m:t>
              </m:r>
            </m:sub>
            <m:sup>
              <m:r>
                <m:t>′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  <m:r>
                <m:t>×</m:t>
              </m:r>
              <m:sSub>
                <m:e>
                  <m:r>
                    <m:t>n</m:t>
                  </m:r>
                </m:e>
                <m:sub>
                  <m:r>
                    <m:t>3</m:t>
                  </m:r>
                </m:sub>
              </m:sSub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</m:t>
              </m:r>
              <m:r>
                <m:t>×</m:t>
              </m:r>
              <m:r>
                <m:t>56</m:t>
              </m:r>
            </m:num>
            <m:den>
              <m:r>
                <m:t>170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16.47</m:t>
          </m:r>
        </m:oMath>
      </m:oMathPara>
    </w:p>
    <w:p>
      <w:pPr>
        <w:pStyle w:val="pStyle"/>
      </w:pPr>
      <w:r>
        <w:t xml:space="preserve">Получим таблицу сопряженности теоретических частот распределения: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A1</w:t>
            </w:r>
          </w:p>
        </w:tc>
        <w:tc>
          <w:tcPr>
            <w:tcW w:w="700" w:type="dxa"/>
          </w:tcPr>
          <w:p>
            <w:r>
              <w:t xml:space="preserve">A2</w:t>
            </w:r>
          </w:p>
        </w:tc>
        <w:tc>
          <w:tcPr>
            <w:tcW w:w="700" w:type="dxa"/>
          </w:tcPr>
          <w:p>
            <w:r>
              <w:t xml:space="preserve">A3</w:t>
            </w:r>
          </w:p>
        </w:tc>
        <w:tc>
          <w:tcPr>
            <w:tcW w:w="700" w:type="dxa"/>
          </w:tcPr>
          <w:p>
            <w:r>
              <w:t xml:space="preserve">n</w:t>
            </w:r>
            <w:r>
              <w:rPr>
                <w:vertAlign w:val="subscript"/>
              </w:rPr>
              <w:t>i∙</w:t>
            </w:r>
          </w:p>
        </w:tc>
      </w:tr>
      <w:tr>
        <w:tc>
          <w:tcPr>
            <w:tcW w:w="700" w:type="dxa"/>
          </w:tcPr>
          <w:p>
            <w:r>
              <w:t xml:space="preserve">B1</w:t>
            </w:r>
          </w:p>
        </w:tc>
        <w:tc>
          <w:tcPr>
            <w:tcW w:w="700" w:type="dxa"/>
          </w:tcPr>
          <w:p>
            <w:r>
              <w:t xml:space="preserve">17.941</w:t>
            </w:r>
          </w:p>
        </w:tc>
        <w:tc>
          <w:tcPr>
            <w:tcW w:w="700" w:type="dxa"/>
          </w:tcPr>
          <w:p>
            <w:r>
              <w:t xml:space="preserve">15.588</w:t>
            </w:r>
          </w:p>
        </w:tc>
        <w:tc>
          <w:tcPr>
            <w:tcW w:w="700" w:type="dxa"/>
          </w:tcPr>
          <w:p>
            <w:r>
              <w:t xml:space="preserve">16.471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</w:tr>
      <w:tr>
        <w:tc>
          <w:tcPr>
            <w:tcW w:w="700" w:type="dxa"/>
          </w:tcPr>
          <w:p>
            <w:r>
              <w:t xml:space="preserve">B2</w:t>
            </w:r>
          </w:p>
        </w:tc>
        <w:tc>
          <w:tcPr>
            <w:tcW w:w="700" w:type="dxa"/>
          </w:tcPr>
          <w:p>
            <w:r>
              <w:t xml:space="preserve">25.118</w:t>
            </w:r>
          </w:p>
        </w:tc>
        <w:tc>
          <w:tcPr>
            <w:tcW w:w="700" w:type="dxa"/>
          </w:tcPr>
          <w:p>
            <w:r>
              <w:t xml:space="preserve">21.824</w:t>
            </w:r>
          </w:p>
        </w:tc>
        <w:tc>
          <w:tcPr>
            <w:tcW w:w="700" w:type="dxa"/>
          </w:tcPr>
          <w:p>
            <w:r>
              <w:t xml:space="preserve">23.059</w:t>
            </w:r>
          </w:p>
        </w:tc>
        <w:tc>
          <w:tcPr>
            <w:tcW w:w="700" w:type="dxa"/>
          </w:tcPr>
          <w:p>
            <w:r>
              <w:t xml:space="preserve">70</w:t>
            </w:r>
          </w:p>
        </w:tc>
      </w:tr>
      <w:tr>
        <w:tc>
          <w:tcPr>
            <w:tcW w:w="700" w:type="dxa"/>
          </w:tcPr>
          <w:p>
            <w:r>
              <w:t xml:space="preserve">B3</w:t>
            </w:r>
          </w:p>
        </w:tc>
        <w:tc>
          <w:tcPr>
            <w:tcW w:w="700" w:type="dxa"/>
          </w:tcPr>
          <w:p>
            <w:r>
              <w:t xml:space="preserve">17.941</w:t>
            </w:r>
          </w:p>
        </w:tc>
        <w:tc>
          <w:tcPr>
            <w:tcW w:w="700" w:type="dxa"/>
          </w:tcPr>
          <w:p>
            <w:r>
              <w:t xml:space="preserve">15.588</w:t>
            </w:r>
          </w:p>
        </w:tc>
        <w:tc>
          <w:tcPr>
            <w:tcW w:w="700" w:type="dxa"/>
          </w:tcPr>
          <w:p>
            <w:r>
              <w:t xml:space="preserve">16.471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</w:tr>
      <w:tr>
        <w:tc>
          <w:tcPr>
            <w:tcW w:w="700" w:type="dxa"/>
          </w:tcPr>
          <w:p>
            <w:r>
              <w:t xml:space="preserve">n</w:t>
            </w:r>
            <w:r>
              <w:rPr>
                <w:vertAlign w:val="subscript"/>
              </w:rPr>
              <w:t>∙j</w:t>
            </w:r>
          </w:p>
        </w:tc>
        <w:tc>
          <w:tcPr>
            <w:tcW w:w="700" w:type="dxa"/>
          </w:tcPr>
          <w:p>
            <w:r>
              <w:t xml:space="preserve">61</w:t>
            </w:r>
          </w:p>
        </w:tc>
        <w:tc>
          <w:tcPr>
            <w:tcW w:w="700" w:type="dxa"/>
          </w:tcPr>
          <w:p>
            <w:r>
              <w:t xml:space="preserve">53</w:t>
            </w:r>
          </w:p>
        </w:tc>
        <w:tc>
          <w:tcPr>
            <w:tcW w:w="700" w:type="dxa"/>
          </w:tcPr>
          <w:p>
            <w:r>
              <w:t xml:space="preserve">56</w:t>
            </w:r>
          </w:p>
        </w:tc>
        <w:tc>
          <w:tcPr>
            <w:tcW w:w="700" w:type="dxa"/>
          </w:tcPr>
          <w:p>
            <w:r>
              <w:t xml:space="preserve">170</w:t>
            </w:r>
          </w:p>
        </w:tc>
      </w:tr>
    </w:tbl>
    <w:p>
      <w:pPr>
        <w:pStyle w:val="pStyle"/>
      </w:pPr>
      <w:r>
        <w:t xml:space="preserve">Вычислим статистику χ</w:t>
      </w:r>
      <w:r>
        <w:rPr>
          <w:vertAlign w:val="superscript"/>
        </w:rPr>
        <w:t>2</w:t>
      </w:r>
      <w:r>
        <w:t xml:space="preserve">:</w:t>
      </w:r>
    </w:p>
    <w:p>
      <m:oMathPara>
        <m:oMath>
          <m:sSup>
            <m:e>
              <m:r>
                <m:t>χ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d>
                    <m:e>
                      <m:r>
                        <m:t>30-17.94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17.94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15-15.59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15.59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5-16.47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16.47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22-25.12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25.12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27-21.82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21.82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21-23.06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23.06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9-17.94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17.94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11-15.59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15.59</m:t>
              </m:r>
            </m:den>
          </m:f>
          <m:r>
            <m:t>+</m:t>
          </m:r>
          <m:f>
            <m:num>
              <m:sSup>
                <m:e>
                  <m:d>
                    <m:e>
                      <m:r>
                        <m:t>30-16.47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r>
                <m:t>16.47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34.834</m:t>
          </m:r>
        </m:oMath>
      </m:oMathPara>
    </w:p>
    <w:p>
      <w:pPr>
        <w:pStyle w:val="pStyle"/>
      </w:pPr>
      <w:r>
        <w:t xml:space="preserve">Определим силу связи по коэффициентам сопряженности.</w:t>
      </w:r>
    </w:p>
    <w:p>
      <w:pPr>
        <w:pStyle w:val="pStyle"/>
      </w:pPr>
      <w:r>
        <w:t xml:space="preserve">Для оценки силы связи вычислим точечные оценки коэффициентов.</w:t>
      </w:r>
    </w:p>
    <w:p>
      <w:pPr>
        <w:pStyle w:val="pStyle"/>
      </w:pPr>
      <w:r>
        <w:t xml:space="preserve">Коэффициент Чупрова</w:t>
      </w:r>
    </w:p>
    <w:p>
      <m:oMathPara>
        <m:oMath>
          <m:r>
            <m:t>C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χ</m:t>
                  </m:r>
                  <m:sSup>
                    <m:e>
                      <m:r>
                        <m:t/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</m:t>
                  </m:r>
                  <m:rad>
                    <m:radPr>
                      <m:degHide m:val="1"/>
                      <m:ctrlPr/>
                    </m:radPr>
                    <m:deg/>
                    <m:e>
                      <m:r>
                        <m:t>(r-1)(s-1)</m:t>
                      </m:r>
                    </m:e>
                  </m:rad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34.834</m:t>
                  </m:r>
                </m:num>
                <m:den>
                  <m:r>
                    <m:t>170</m:t>
                  </m:r>
                  <m:rad>
                    <m:radPr>
                      <m:degHide m:val="1"/>
                      <m:ctrlPr/>
                    </m:radPr>
                    <m:deg/>
                    <m:e>
                      <m:r>
                        <m:t>(3-1)(3-1)</m:t>
                      </m:r>
                    </m:e>
                  </m:rad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0.32</m:t>
          </m:r>
        </m:oMath>
      </m:oMathPara>
    </w:p>
    <w:p>
      <w:pPr>
        <w:pStyle w:val="pStyle"/>
      </w:pPr>
      <w:r>
        <w:t xml:space="preserve">Коэффициент Крамера</w:t>
      </w:r>
    </w:p>
    <w:p>
      <m:oMathPara>
        <m:oMath>
          <m:r>
            <m:t>K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χ</m:t>
                  </m:r>
                  <m:sSup>
                    <m:e>
                      <m:r>
                        <m:t/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n∙min[r-1 , s-1]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34.834</m:t>
                  </m:r>
                </m:num>
                <m:den>
                  <m:r>
                    <m:t>170 min[3-1, 3-1]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0.32</m:t>
          </m:r>
        </m:oMath>
      </m:oMathPara>
    </w:p>
    <w:p>
      <w:pPr>
        <w:pStyle w:val="pStyle"/>
      </w:pPr>
      <w:r>
        <w:t xml:space="preserve">Коэффициент сопряженности Пирсона:</w:t>
      </w:r>
    </w:p>
    <w:p>
      <m:oMathPara>
        <m:oMath>
          <m:r>
            <m:t>P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sSup>
                    <m:e>
                      <m:r>
                        <m:t>χ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sSup>
                    <m:e>
                      <m:r>
                        <m:t>χ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+n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r>
                    <m:t>34.834</m:t>
                  </m:r>
                </m:num>
                <m:den>
                  <m:r>
                    <m:t>34.834+170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0.412</m:t>
          </m:r>
        </m:oMath>
      </m:oMathPara>
    </w:p>
    <w:p>
      <w:pPr>
        <w:pStyle w:val="pStyle"/>
      </w:pPr>
      <w:r>
        <w:t xml:space="preserve">Таким образом, связь между «А» и «B» сильная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Коэффициент контингенции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Кендэла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ранговой корреляции Спирмена</w:t>
        </w:r>
      </w:hyperlink>
    </w:p>
    <w:p>
      <w:hyperlink r:id="rId12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3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contingency.php" TargetMode="External"/>
  <Relationship Id="rId8" Type="http://schemas.openxmlformats.org/officeDocument/2006/relationships/hyperlink" Target="https://math.semestr.ru/corel/concordance.php" TargetMode="External"/>
  <Relationship Id="rId9" Type="http://schemas.openxmlformats.org/officeDocument/2006/relationships/hyperlink" Target="https://math.semestr.ru/corel/kendel.php" TargetMode="External"/>
  <Relationship Id="rId10" Type="http://schemas.openxmlformats.org/officeDocument/2006/relationships/hyperlink" Target="https://math.semestr.ru/group/mathematical-psychology.php" TargetMode="External"/>
  <Relationship Id="rId11" Type="http://schemas.openxmlformats.org/officeDocument/2006/relationships/hyperlink" Target="https://math.semestr.ru/corel/spirmen.php" TargetMode="External"/>
  <Relationship Id="rId12" Type="http://schemas.openxmlformats.org/officeDocument/2006/relationships/hyperlink" Target="https://math.semestr.ru/group/factor.php" TargetMode="External"/>
  <Relationship Id="rId13" Type="http://schemas.openxmlformats.org/officeDocument/2006/relationships/hyperlink" Target="https://math.semestr.ru/group/two-facto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2024-08-11T07:02:00+03:00</dcterms:created>
  <dcterms:modified xsi:type="dcterms:W3CDTF">2024-08-11T07:02:00+03:00</dcterms:modified>
  <dc:title>Коэффициент контингенции</dc:title>
  <dc:description>https://math.semestr.ru/corel/contingency.php</dc:description>
  <dc:subject>Коэффициент контингенции</dc:subject>
  <cp:keywords>Коэффициент контингенции</cp:keywords>
  <cp:category>Коэффициент контингенции</cp:category>
</cp:coreProperties>
</file>