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Коэффициент корреляции знаков</w:t>
      </w:r>
      <w:r>
        <w:t xml:space="preserve">.</w:t>
      </w:r>
    </w:p>
    <w:p>
      <w:pPr>
        <w:pStyle w:val="pStyle"/>
      </w:pPr>
      <w:r>
        <w:t xml:space="preserve">Коэффициент корреляции знаков, или коэффициент Фехнера, основан на оценке степени согласованности направлений отклонений индивидуальных значений факторного и результативного признаков от соответствующих средних. Вычисляется он следующим образом:</w:t>
      </w:r>
    </w:p>
    <w:p>
      <m:oMathPara>
        <m:oMath>
          <m:sSub>
            <m:e>
              <m:r>
                <m:t>K</m:t>
              </m:r>
            </m:e>
            <m:sub>
              <m:r>
                <m:t>ф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n</m:t>
                  </m:r>
                </m:e>
                <m:sub>
                  <m:r>
                    <m:t>a</m:t>
                  </m:r>
                </m:sub>
              </m:sSub>
              <m:r>
                <m:t> - </m:t>
              </m:r>
              <m:sSub>
                <m:e>
                  <m:r>
                    <m:t>n</m:t>
                  </m:r>
                </m:e>
                <m:sub>
                  <m:r>
                    <m:t>b</m:t>
                  </m:r>
                </m:sub>
              </m:sSub>
            </m:num>
            <m:den>
              <m:sSub>
                <m:e>
                  <m:r>
                    <m:t>n</m:t>
                  </m:r>
                </m:e>
                <m:sub>
                  <m:r>
                    <m:t>a</m:t>
                  </m:r>
                </m:sub>
              </m:sSub>
              <m:r>
                <m:t> + </m:t>
              </m:r>
              <m:sSub>
                <m:e>
                  <m:r>
                    <m:t>n</m:t>
                  </m:r>
                </m:e>
                <m:sub>
                  <m:r>
                    <m:t>b</m:t>
                  </m:r>
                </m:sub>
              </m:sSub>
            </m:den>
          </m:f>
        </m:oMath>
      </m:oMathPara>
    </w:p>
    <w:p>
      <w:pPr>
        <w:pStyle w:val="pStyle"/>
      </w:pPr>
      <w:r>
        <w:t xml:space="preserve">где n</w:t>
      </w:r>
      <w:r>
        <w:rPr>
          <w:vertAlign w:val="subscript"/>
        </w:rPr>
        <w:t>a</w:t>
      </w:r>
      <w:r>
        <w:t xml:space="preserve"> - число совпадений знаков отклонений индивидуальных величин от средней; n</w:t>
      </w:r>
      <w:r>
        <w:rPr>
          <w:vertAlign w:val="subscript"/>
        </w:rPr>
        <w:t>b</w:t>
      </w:r>
      <w:r>
        <w:t xml:space="preserve"> - число несовпадений.</w:t>
      </w:r>
    </w:p>
    <w:p>
      <w:pPr>
        <w:pStyle w:val="pStyle"/>
      </w:pPr>
      <w:r>
        <w:t xml:space="preserve">Коэффициент Фехнера может принимать значения от –1 до +1. Kф = 1 свидетельствует о возможном наличии прямой связи, Kф = -1 свидетельствует о возможном наличии обратной связи.</w:t>
      </w:r>
    </w:p>
    <w:p>
      <w:pPr>
        <w:pStyle w:val="pStyle"/>
      </w:pPr>
      <w:r>
        <w:t xml:space="preserve">Рассмотрим на примере расчет коэффициента Фехнера по данным, приведенным в таблице.</w:t>
      </w:r>
    </w:p>
    <w:p>
      <w:pPr>
        <w:pStyle w:val="pStyle"/>
      </w:pPr>
      <w:r>
        <w:t xml:space="preserve">Средние значения:</w:t>
      </w:r>
    </w:p>
    <w:p>
      <m:oMathPara>
        <m:oMath>
          <m:acc>
            <m:accPr>
              <m:chr m:val="̅"/>
            </m:accPr>
            <m:e>
              <m:r>
                <m:t>x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x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891.6</m:t>
              </m:r>
            </m:num>
            <m:den>
              <m:r>
                <m:t>16</m:t>
              </m:r>
            </m:den>
          </m:f>
          <m:r>
            <m:t> = 55.73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1400</m:t>
              </m:r>
            </m:num>
            <m:den>
              <m:r>
                <m:t>16</m:t>
              </m:r>
            </m:den>
          </m:f>
          <m:r>
            <m:t> = 87.5</m:t>
          </m:r>
        </m:oMath>
      </m:oMathPara>
    </w:p>
    <w:p>
      <w:pPr>
        <w:pStyle w:val="pStyle"/>
      </w:pPr>
      <w:r>
        <w:t xml:space="preserve">Таблица - Расчет коэффициента Фехнера</w:t>
      </w:r>
    </w:p>
    <w:tbl>
      <w:tblPr>
        <w:tblStyle w:val="myOwnTableStyle"/>
        <w:jc w:val="center"/>
      </w:tblPr>
      <w:tr>
        <w:tc>
          <w:tcPr>
            <w:tcW w:w="1000" w:type="dxa"/>
          </w:tcPr>
          <w:p>
            <w:r>
              <w:t xml:space="preserve">X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Y</w:t>
            </w:r>
            <w:r>
              <w:rPr>
                <w:vertAlign w:val="subscript"/>
              </w:rPr>
              <w:t>i</w:t>
            </w:r>
          </w:p>
        </w:tc>
        <w:tc>
          <w:tcPr>
            <w:tcW w:w="1000" w:type="dxa"/>
          </w:tcPr>
          <w:p>
            <w:r>
              <w:t xml:space="preserve">Знаки отклонений от средней X</w:t>
            </w:r>
          </w:p>
        </w:tc>
        <w:tc>
          <w:tcPr>
            <w:tcW w:w="1000" w:type="dxa"/>
          </w:tcPr>
          <w:p>
            <w:r>
              <w:t xml:space="preserve">Знаки отклонений от средней Y</w:t>
            </w:r>
          </w:p>
        </w:tc>
        <w:tc>
          <w:tcPr>
            <w:tcW w:w="1000" w:type="dxa"/>
          </w:tcPr>
          <w:p>
            <w:r>
              <w:t xml:space="preserve">Совпадение (а) или несовпадение (b) знаков</w:t>
            </w:r>
          </w:p>
        </w:tc>
      </w:tr>
      <w:tr>
        <w:tc>
          <w:tcPr>
            <w:tcW w:w="1000" w:type="dxa"/>
          </w:tcPr>
          <w:p>
            <w:r>
              <w:t xml:space="preserve">63.3</w:t>
            </w:r>
          </w:p>
        </w:tc>
        <w:tc>
          <w:tcPr>
            <w:tcW w:w="1000" w:type="dxa"/>
          </w:tcPr>
          <w:p>
            <w:r>
              <w:t xml:space="preserve">87.7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58.5</w:t>
            </w:r>
          </w:p>
        </w:tc>
        <w:tc>
          <w:tcPr>
            <w:tcW w:w="1000" w:type="dxa"/>
          </w:tcPr>
          <w:p>
            <w:r>
              <w:t xml:space="preserve">87.7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65.8</w:t>
            </w:r>
          </w:p>
        </w:tc>
        <w:tc>
          <w:tcPr>
            <w:tcW w:w="1000" w:type="dxa"/>
          </w:tcPr>
          <w:p>
            <w:r>
              <w:t xml:space="preserve">93.8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62.5</w:t>
            </w:r>
          </w:p>
        </w:tc>
        <w:tc>
          <w:tcPr>
            <w:tcW w:w="1000" w:type="dxa"/>
          </w:tcPr>
          <w:p>
            <w:r>
              <w:t xml:space="preserve">91.7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51.9</w:t>
            </w:r>
          </w:p>
        </w:tc>
        <w:tc>
          <w:tcPr>
            <w:tcW w:w="1000" w:type="dxa"/>
          </w:tcPr>
          <w:p>
            <w:r>
              <w:t xml:space="preserve">81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54.8</w:t>
            </w:r>
          </w:p>
        </w:tc>
        <w:tc>
          <w:tcPr>
            <w:tcW w:w="1000" w:type="dxa"/>
          </w:tcPr>
          <w:p>
            <w:r>
              <w:t xml:space="preserve">85.2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57</w:t>
            </w:r>
          </w:p>
        </w:tc>
        <w:tc>
          <w:tcPr>
            <w:tcW w:w="1000" w:type="dxa"/>
          </w:tcPr>
          <w:p>
            <w:r>
              <w:t xml:space="preserve">85.8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</w:tr>
      <w:tr>
        <w:tc>
          <w:tcPr>
            <w:tcW w:w="1000" w:type="dxa"/>
          </w:tcPr>
          <w:p>
            <w:r>
              <w:t xml:space="preserve">57.2</w:t>
            </w:r>
          </w:p>
        </w:tc>
        <w:tc>
          <w:tcPr>
            <w:tcW w:w="1000" w:type="dxa"/>
          </w:tcPr>
          <w:p>
            <w:r>
              <w:t xml:space="preserve">91.3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56.9</w:t>
            </w:r>
          </w:p>
        </w:tc>
        <w:tc>
          <w:tcPr>
            <w:tcW w:w="1000" w:type="dxa"/>
          </w:tcPr>
          <w:p>
            <w:r>
              <w:t xml:space="preserve">95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48.9</w:t>
            </w:r>
          </w:p>
        </w:tc>
        <w:tc>
          <w:tcPr>
            <w:tcW w:w="1000" w:type="dxa"/>
          </w:tcPr>
          <w:p>
            <w:r>
              <w:t xml:space="preserve">88.5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</w:tr>
      <w:tr>
        <w:tc>
          <w:tcPr>
            <w:tcW w:w="1000" w:type="dxa"/>
          </w:tcPr>
          <w:p>
            <w:r>
              <w:t xml:space="preserve">51.4</w:t>
            </w:r>
          </w:p>
        </w:tc>
        <w:tc>
          <w:tcPr>
            <w:tcW w:w="1000" w:type="dxa"/>
          </w:tcPr>
          <w:p>
            <w:r>
              <w:t xml:space="preserve">81.9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46.7</w:t>
            </w:r>
          </w:p>
        </w:tc>
        <w:tc>
          <w:tcPr>
            <w:tcW w:w="1000" w:type="dxa"/>
          </w:tcPr>
          <w:p>
            <w:r>
              <w:t xml:space="preserve">73.2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55.3</w:t>
            </w:r>
          </w:p>
        </w:tc>
        <w:tc>
          <w:tcPr>
            <w:tcW w:w="1000" w:type="dxa"/>
          </w:tcPr>
          <w:p>
            <w:r>
              <w:t xml:space="preserve">80.4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A</w:t>
            </w:r>
          </w:p>
        </w:tc>
      </w:tr>
      <w:tr>
        <w:tc>
          <w:tcPr>
            <w:tcW w:w="1000" w:type="dxa"/>
          </w:tcPr>
          <w:p>
            <w:r>
              <w:t xml:space="preserve">57.2</w:t>
            </w:r>
          </w:p>
        </w:tc>
        <w:tc>
          <w:tcPr>
            <w:tcW w:w="1000" w:type="dxa"/>
          </w:tcPr>
          <w:p>
            <w:r>
              <w:t xml:space="preserve">87.2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</w:tr>
      <w:tr>
        <w:tc>
          <w:tcPr>
            <w:tcW w:w="1000" w:type="dxa"/>
          </w:tcPr>
          <w:p>
            <w:r>
              <w:t xml:space="preserve">53.8</w:t>
            </w:r>
          </w:p>
        </w:tc>
        <w:tc>
          <w:tcPr>
            <w:tcW w:w="1000" w:type="dxa"/>
          </w:tcPr>
          <w:p>
            <w:r>
              <w:t xml:space="preserve">96.4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</w:tr>
      <w:tr>
        <w:tc>
          <w:tcPr>
            <w:tcW w:w="1000" w:type="dxa"/>
          </w:tcPr>
          <w:p>
            <w:r>
              <w:t xml:space="preserve">50.4</w:t>
            </w:r>
          </w:p>
        </w:tc>
        <w:tc>
          <w:tcPr>
            <w:tcW w:w="1000" w:type="dxa"/>
          </w:tcPr>
          <w:p>
            <w:r>
              <w:t xml:space="preserve">93.2</w:t>
            </w:r>
          </w:p>
        </w:tc>
        <w:tc>
          <w:tcPr>
            <w:tcW w:w="1000" w:type="dxa"/>
          </w:tcPr>
          <w:p>
            <w:r>
              <w:t xml:space="preserve">-</w:t>
            </w:r>
          </w:p>
        </w:tc>
        <w:tc>
          <w:tcPr>
            <w:tcW w:w="1000" w:type="dxa"/>
          </w:tcPr>
          <w:p>
            <w:r>
              <w:t xml:space="preserve">+</w:t>
            </w:r>
          </w:p>
        </w:tc>
        <w:tc>
          <w:tcPr>
            <w:tcW w:w="1000" w:type="dxa"/>
          </w:tcPr>
          <w:p>
            <w:r>
              <w:t xml:space="preserve">B</w:t>
            </w:r>
          </w:p>
        </w:tc>
      </w:tr>
      <w:tr>
        <w:tc>
          <w:tcPr>
            <w:tcW w:w="1000" w:type="dxa"/>
          </w:tcPr>
          <w:p>
            <w:r>
              <w:t xml:space="preserve">891.6</w:t>
            </w:r>
          </w:p>
        </w:tc>
        <w:tc>
          <w:tcPr>
            <w:tcW w:w="1000" w:type="dxa"/>
          </w:tcPr>
          <w:p>
            <w:r>
              <w:t xml:space="preserve">1400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  <w:tc>
          <w:tcPr>
            <w:tcW w:w="1000" w:type="dxa"/>
          </w:tcPr>
          <w:p>
            <w:r>
              <w:t xml:space="preserve"> </w:t>
            </w:r>
          </w:p>
        </w:tc>
      </w:tr>
    </w:tbl>
    <w:p>
      <m:oMathPara>
        <m:oMath>
          <m:sSub>
            <m:e>
              <m:r>
                <m:t>K</m:t>
              </m:r>
            </m:e>
            <m:sub>
              <m:r>
                <m:t>ф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11 - 5</m:t>
              </m:r>
            </m:num>
            <m:den>
              <m:r>
                <m:t>11 + 5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0.38</m:t>
          </m:r>
        </m:oMath>
      </m:oMathPara>
    </w:p>
    <w:p>
      <w:pPr>
        <w:pStyle w:val="pStyle"/>
      </w:pPr>
      <w:r>
        <w:t xml:space="preserve">Значение коэффициента свидетельствует о том, что можно предполагать наличие прямой связи.</w:t>
      </w:r>
    </w:p>
    <w:p>
      <w:pPr>
        <w:pStyle w:val="pStyle"/>
      </w:pPr>
      <w:r>
        <w:rPr>
          <w:b/>
        </w:rPr>
        <w:t>Оценка коэффициента корреляции знаков</w:t>
      </w:r>
      <w:r>
        <w:t xml:space="preserve">.</w:t>
      </w:r>
    </w:p>
    <w:p>
      <w:pPr>
        <w:pStyle w:val="pStyle"/>
      </w:pPr>
      <w:r>
        <w:t xml:space="preserve">Значимость коэффициента Фехнера.</w:t>
      </w:r>
    </w:p>
    <w:p>
      <m:oMathPara>
        <m:oMath>
          <m:sSub>
            <m:e>
              <m:r>
                <m:t>T</m:t>
              </m:r>
            </m:e>
            <m:sub>
              <m:r>
                <m:t>набл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K</m:t>
              </m:r>
            </m:e>
            <m:sub>
              <m:r>
                <m:t>ф</m:t>
              </m:r>
            </m:sub>
          </m:sSub>
          <m:r>
            <m:t>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n-2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bSup>
                    <m:e>
                      <m:r>
                        <m:t>K</m:t>
                      </m:r>
                    </m:e>
                    <m:sub>
                      <m:r>
                        <m:t>ф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0.38 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14</m:t>
                  </m:r>
                </m:e>
              </m:rad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1 - </m:t>
                  </m:r>
                  <m:sSup>
                    <m:e>
                      <m:r>
                        <m:t>0.38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1.51</m:t>
          </m:r>
        </m:oMath>
      </m:oMathPara>
    </w:p>
    <w:p>
      <w:pPr>
        <w:pStyle w:val="pStyle"/>
      </w:pPr>
      <w:r>
        <w:t xml:space="preserve">По таблице Стьюдента находим t</w:t>
      </w:r>
      <w:r>
        <w:rPr>
          <w:vertAlign w:val="subscript"/>
        </w:rPr>
        <w:t>табл</w:t>
      </w:r>
      <w:r>
        <w:t xml:space="preserve">: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(n-m-1;a) = (14;0.05) = 2.145</w:t>
      </w:r>
    </w:p>
    <w:p>
      <w:pPr>
        <w:pStyle w:val="pStyle"/>
      </w:pPr>
      <w:r>
        <w:t xml:space="preserve">Поскольку Tнабл &lt; tтабл , то принимаем гипотезу о равенстве 0 коэффициента корреляции знаков. Другими словами, коэффициент Фехнера статистически - не значим.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Коэффициент Фехнера онлайн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Коэффициент корреляции Спирмена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Коэффициент конкордации</w:t>
        </w:r>
      </w:hyperlink>
    </w:p>
    <w:p>
      <w:hyperlink r:id="rId11" w:history="1">
        <w:r>
          <w:rPr>
            <w:color w:val="0000FF"/>
            <w:u w:val="single"/>
          </w:rPr>
          <w:t xml:space="preserve">Коэффициент Кендэла</w:t>
        </w:r>
      </w:hyperlink>
    </w:p>
    <w:p>
      <w:hyperlink r:id="rId12" w:history="1">
        <w:r>
          <w:rPr>
            <w:color w:val="0000FF"/>
            <w:u w:val="single"/>
          </w:rPr>
          <w:t xml:space="preserve">Математические методы в психологии</w:t>
        </w:r>
      </w:hyperlink>
    </w:p>
    <w:p>
      <w:hyperlink r:id="rId13" w:history="1">
        <w:r>
          <w:rPr>
            <w:color w:val="0000FF"/>
            <w:u w:val="single"/>
          </w:rPr>
          <w:t xml:space="preserve">Коэффициент ранговой корреляции Спирмена</w:t>
        </w:r>
      </w:hyperlink>
    </w:p>
    <w:p>
      <w:hyperlink r:id="rId14" w:history="1">
        <w:r>
          <w:rPr>
            <w:color w:val="0000FF"/>
            <w:u w:val="single"/>
          </w:rPr>
          <w:t xml:space="preserve">Однофакторный дисперсионный анализ</w:t>
        </w:r>
      </w:hyperlink>
    </w:p>
    <w:p>
      <w:hyperlink r:id="rId15" w:history="1">
        <w:r>
          <w:rPr>
            <w:color w:val="0000FF"/>
            <w:u w:val="single"/>
          </w:rPr>
          <w:t xml:space="preserve">Двухфакторный дисперсионный анализ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corel/fexner.php" TargetMode="External"/>
  <Relationship Id="rId8" Type="http://schemas.openxmlformats.org/officeDocument/2006/relationships/hyperlink" Target="https://math.semestr.ru/corel/spirmen.php" TargetMode="External"/>
  <Relationship Id="rId9" Type="http://schemas.openxmlformats.org/officeDocument/2006/relationships/hyperlink" Target="https://math.semestr.ru/corel/corel.php" TargetMode="External"/>
  <Relationship Id="rId10" Type="http://schemas.openxmlformats.org/officeDocument/2006/relationships/hyperlink" Target="https://math.semestr.ru/corel/concordance.php" TargetMode="External"/>
  <Relationship Id="rId11" Type="http://schemas.openxmlformats.org/officeDocument/2006/relationships/hyperlink" Target="https://math.semestr.ru/corel/kendel.php" TargetMode="External"/>
  <Relationship Id="rId12" Type="http://schemas.openxmlformats.org/officeDocument/2006/relationships/hyperlink" Target="https://math.semestr.ru/group/mathematical-psychology.php" TargetMode="External"/>
  <Relationship Id="rId13" Type="http://schemas.openxmlformats.org/officeDocument/2006/relationships/hyperlink" Target="https://math.semestr.ru/corel/spirmen.php" TargetMode="External"/>
  <Relationship Id="rId14" Type="http://schemas.openxmlformats.org/officeDocument/2006/relationships/hyperlink" Target="https://math.semestr.ru/group/factor.php" TargetMode="External"/>
  <Relationship Id="rId15" Type="http://schemas.openxmlformats.org/officeDocument/2006/relationships/hyperlink" Target="https://math.semestr.ru/group/two-factor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2024-03-09T13:36:00+03:00</dcterms:created>
  <dcterms:modified xsi:type="dcterms:W3CDTF">2024-03-09T13:36:00+03:00</dcterms:modified>
  <dc:title>Коэффициент Фехнера</dc:title>
  <dc:description>https://math.semestr.ru/corel/fexner.php</dc:description>
  <dc:subject>Коэффициент Фехнера</dc:subject>
  <cp:keywords>Коэффициент Фехнера,значимость коэффициента Фехнера,доверительный интервал для коэффициента Фехнера</cp:keywords>
  <cp:category>Коэффициент Фехнера</cp:category>
</cp:coreProperties>
</file>