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Коэффициент Кендэла</w:t>
      </w:r>
    </w:p>
    <w:p>
      <w:pPr>
        <w:pStyle w:val="pStyle"/>
      </w:pPr>
    </w:p>
    <w:p>
      <w:pPr>
        <w:pStyle w:val="pStyle"/>
      </w:pPr>
      <w:r>
        <w:t xml:space="preserve">Присвоим ранги признаку Y и фактору X.</w:t>
      </w:r>
    </w:p>
    <w:p>
      <w:pPr>
        <w:pStyle w:val="pStyle"/>
      </w:pPr>
      <w:r>
        <w:t xml:space="preserve">Расположим объекты так, чтобы их ранги по X представили натуральный ряд. Так как оценки, приписываемые каждой паре этого ряда, положительные, значения «+1», входящие в Р, будут порождаться только теми парами, ранги которых по Y образуют прямой порядок.</w:t>
      </w:r>
    </w:p>
    <w:p>
      <w:pPr>
        <w:pStyle w:val="pStyle"/>
      </w:pPr>
      <w:r>
        <w:t xml:space="preserve">Их легко подсчитать, сопоставляя последовательно ранги каждого объекта в ряду Y с стальными.</w:t>
      </w:r>
    </w:p>
    <w:p>
      <w:pPr>
        <w:pStyle w:val="pStyle"/>
      </w:pPr>
      <w:r>
        <w:rPr>
          <w:b/>
        </w:rPr>
        <w:t>Коэффициент Кендэла</w:t>
      </w:r>
      <w:r>
        <w:t xml:space="preserve">.</w:t>
      </w:r>
    </w:p>
    <w:p>
      <m:oMathPara>
        <m:oMath>
          <m:r>
            <m:t>τ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P - Q</m:t>
              </m:r>
            </m:num>
            <m:den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  <m:r>
                <m:t>∙N(N-1)</m:t>
              </m:r>
            </m:den>
          </m:f>
        </m:oMath>
      </m:oMathPara>
    </w:p>
    <w:p>
      <w:pPr>
        <w:pStyle w:val="pStyle"/>
      </w:pPr>
      <w:r>
        <w:t xml:space="preserve">В общем случае расчет τ (точнее Р или Q) даже для N порядка 10 оказывается громоздким. Покажем, как упростить вычисления.</w:t>
      </w:r>
    </w:p>
    <w:p>
      <m:oMathPara>
        <m:oMath>
          <m:r>
            <m:t>τ</m:t>
          </m:r>
        </m:oMath>
      </m:oMathPara>
      <m:oMathPara>
        <m:oMath>
          <m:r>
            <m:t>=</m:t>
          </m:r>
        </m:oMath>
      </m:oMathPara>
      <m:oMathPara>
        <m:oMath>
          <m:r>
            <m:t>1 - </m:t>
          </m:r>
          <m:f>
            <m:num>
              <m:r>
                <m:t>4Q</m:t>
              </m:r>
            </m:num>
            <m:den>
              <m:r>
                <m:t>N(N-1)</m:t>
              </m:r>
            </m:den>
          </m:f>
        </m:oMath>
      </m:oMathPara>
    </w:p>
    <w:p>
      <w:pPr>
        <w:pStyle w:val="pStyle"/>
      </w:pPr>
      <w:r>
        <w:t xml:space="preserve">или</w:t>
      </w:r>
    </w:p>
    <w:p>
      <m:oMathPara>
        <m:oMath>
          <m:r>
            <m:t>τ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4P</m:t>
              </m:r>
            </m:num>
            <m:den>
              <m:r>
                <m:t>N(N-1)</m:t>
              </m:r>
            </m:den>
          </m:f>
          <m:r>
            <m:t> - 1</m:t>
          </m:r>
        </m:oMath>
      </m:oMathPara>
    </w:p>
    <w:p>
      <w:pPr>
        <w:pStyle w:val="pStyle"/>
      </w:pPr>
      <w:r>
        <w:rPr>
          <w:b/>
        </w:rPr>
        <w:t>Решение</w:t>
      </w:r>
      <w:r>
        <w:t xml:space="preserve">.</w:t>
      </w:r>
    </w:p>
    <w:p>
      <w:pPr>
        <w:pStyle w:val="pStyle"/>
      </w:pPr>
      <w:r>
        <w:t xml:space="preserve">Упорядочим данные по X.</w:t>
      </w:r>
    </w:p>
    <w:p>
      <w:pPr>
        <w:pStyle w:val="pStyle"/>
      </w:pPr>
      <w:r>
        <w:t xml:space="preserve">В ряду Y справа от 28 расположено 12 рангов, превосходящих 28, следовательно, 28 породит в Р слагаемое 12.</w:t>
      </w:r>
    </w:p>
    <w:p>
      <w:pPr>
        <w:pStyle w:val="pStyle"/>
      </w:pPr>
      <w:r>
        <w:t xml:space="preserve">Справа от 30 стоят 10 ранга, превосходящих 30 (это 31, 37, 40, 36, 32, 33, 39, 35, 34, 38), т.е. в Р войдет 10 и т.д. В итоге Р = 406 и с использованием формул имеем:</w:t>
      </w:r>
    </w:p>
    <w:tbl>
      <w:tblPr>
        <w:tblStyle w:val="myOwnTableStyle"/>
        <w:jc w:val="center"/>
      </w:tblPr>
      <w:tr>
        <w:tc>
          <w:tcPr>
            <w:tcW w:w="700" w:type="dxa"/>
          </w:tcPr>
          <w:p>
            <w:r>
              <w:t xml:space="preserve">X</w:t>
            </w:r>
          </w:p>
        </w:tc>
        <w:tc>
          <w:tcPr>
            <w:tcW w:w="700" w:type="dxa"/>
          </w:tcPr>
          <w:p>
            <w:r>
              <w:t xml:space="preserve">Y</w:t>
            </w:r>
          </w:p>
        </w:tc>
        <w:tc>
          <w:tcPr>
            <w:tcW w:w="700" w:type="dxa"/>
          </w:tcPr>
          <w:p>
            <w:r>
              <w:t xml:space="preserve">ранг X, d</w:t>
            </w:r>
            <w:r>
              <w:rPr>
                <w:vertAlign w:val="subscript"/>
              </w:rPr>
              <w:t>x</w:t>
            </w:r>
          </w:p>
        </w:tc>
        <w:tc>
          <w:tcPr>
            <w:tcW w:w="700" w:type="dxa"/>
          </w:tcPr>
          <w:p>
            <w:r>
              <w:t xml:space="preserve">ранг Y, d</w:t>
            </w:r>
            <w:r>
              <w:rPr>
                <w:vertAlign w:val="subscript"/>
              </w:rPr>
              <w:t>y</w:t>
            </w:r>
          </w:p>
        </w:tc>
        <w:tc>
          <w:tcPr>
            <w:tcW w:w="700" w:type="dxa"/>
          </w:tcPr>
          <w:p>
            <w:r>
              <w:t xml:space="preserve">P</w:t>
            </w:r>
          </w:p>
        </w:tc>
        <w:tc>
          <w:tcPr>
            <w:tcW w:w="700" w:type="dxa"/>
          </w:tcPr>
          <w:p>
            <w:r>
              <w:t xml:space="preserve">Q</w:t>
            </w:r>
          </w:p>
        </w:tc>
      </w:tr>
      <w:tr>
        <w:tc>
          <w:tcPr>
            <w:tcW w:w="700" w:type="dxa"/>
          </w:tcPr>
          <w:p>
            <w:r>
              <w:t xml:space="preserve">7.3</w:t>
            </w:r>
          </w:p>
        </w:tc>
        <w:tc>
          <w:tcPr>
            <w:tcW w:w="700" w:type="dxa"/>
          </w:tcPr>
          <w:p>
            <w:r>
              <w:t xml:space="preserve">1.27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28</w:t>
            </w:r>
          </w:p>
        </w:tc>
        <w:tc>
          <w:tcPr>
            <w:tcW w:w="700" w:type="dxa"/>
          </w:tcPr>
          <w:p>
            <w:r>
              <w:t xml:space="preserve">12</w:t>
            </w:r>
          </w:p>
        </w:tc>
        <w:tc>
          <w:tcPr>
            <w:tcW w:w="700" w:type="dxa"/>
          </w:tcPr>
          <w:p>
            <w:r>
              <w:t xml:space="preserve">27</w:t>
            </w:r>
          </w:p>
        </w:tc>
      </w:tr>
      <w:tr>
        <w:tc>
          <w:tcPr>
            <w:tcW w:w="700" w:type="dxa"/>
          </w:tcPr>
          <w:p>
            <w:r>
              <w:t xml:space="preserve">9.2</w:t>
            </w:r>
          </w:p>
        </w:tc>
        <w:tc>
          <w:tcPr>
            <w:tcW w:w="700" w:type="dxa"/>
          </w:tcPr>
          <w:p>
            <w:r>
              <w:t xml:space="preserve">1.41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30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  <w:tc>
          <w:tcPr>
            <w:tcW w:w="700" w:type="dxa"/>
          </w:tcPr>
          <w:p>
            <w:r>
              <w:t xml:space="preserve">28</w:t>
            </w:r>
          </w:p>
        </w:tc>
      </w:tr>
      <w:tr>
        <w:tc>
          <w:tcPr>
            <w:tcW w:w="700" w:type="dxa"/>
          </w:tcPr>
          <w:p>
            <w:r>
              <w:t xml:space="preserve">10.9</w:t>
            </w:r>
          </w:p>
        </w:tc>
        <w:tc>
          <w:tcPr>
            <w:tcW w:w="700" w:type="dxa"/>
          </w:tcPr>
          <w:p>
            <w:r>
              <w:t xml:space="preserve">1.02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17</w:t>
            </w:r>
          </w:p>
        </w:tc>
        <w:tc>
          <w:tcPr>
            <w:tcW w:w="700" w:type="dxa"/>
          </w:tcPr>
          <w:p>
            <w:r>
              <w:t xml:space="preserve">21</w:t>
            </w:r>
          </w:p>
        </w:tc>
        <w:tc>
          <w:tcPr>
            <w:tcW w:w="700" w:type="dxa"/>
          </w:tcPr>
          <w:p>
            <w:r>
              <w:t xml:space="preserve">16</w:t>
            </w:r>
          </w:p>
        </w:tc>
      </w:tr>
      <w:tr>
        <w:tc>
          <w:tcPr>
            <w:tcW w:w="700" w:type="dxa"/>
          </w:tcPr>
          <w:p>
            <w:r>
              <w:t xml:space="preserve">11.1</w:t>
            </w:r>
          </w:p>
        </w:tc>
        <w:tc>
          <w:tcPr>
            <w:tcW w:w="700" w:type="dxa"/>
          </w:tcPr>
          <w:p>
            <w:r>
              <w:t xml:space="preserve">0.75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12</w:t>
            </w:r>
          </w:p>
        </w:tc>
        <w:tc>
          <w:tcPr>
            <w:tcW w:w="700" w:type="dxa"/>
          </w:tcPr>
          <w:p>
            <w:r>
              <w:t xml:space="preserve">25</w:t>
            </w:r>
          </w:p>
        </w:tc>
        <w:tc>
          <w:tcPr>
            <w:tcW w:w="700" w:type="dxa"/>
          </w:tcPr>
          <w:p>
            <w:r>
              <w:t xml:space="preserve">11</w:t>
            </w:r>
          </w:p>
        </w:tc>
      </w:tr>
      <w:tr>
        <w:tc>
          <w:tcPr>
            <w:tcW w:w="700" w:type="dxa"/>
          </w:tcPr>
          <w:p>
            <w:r>
              <w:t xml:space="preserve">11.9</w:t>
            </w:r>
          </w:p>
        </w:tc>
        <w:tc>
          <w:tcPr>
            <w:tcW w:w="700" w:type="dxa"/>
          </w:tcPr>
          <w:p>
            <w:r>
              <w:t xml:space="preserve">1.41</w:t>
            </w:r>
          </w:p>
        </w:tc>
        <w:tc>
          <w:tcPr>
            <w:tcW w:w="700" w:type="dxa"/>
          </w:tcPr>
          <w:p>
            <w:r>
              <w:t xml:space="preserve">5</w:t>
            </w:r>
          </w:p>
        </w:tc>
        <w:tc>
          <w:tcPr>
            <w:tcW w:w="700" w:type="dxa"/>
          </w:tcPr>
          <w:p>
            <w:r>
              <w:t xml:space="preserve">31</w:t>
            </w:r>
          </w:p>
        </w:tc>
        <w:tc>
          <w:tcPr>
            <w:tcW w:w="700" w:type="dxa"/>
          </w:tcPr>
          <w:p>
            <w:r>
              <w:t xml:space="preserve">9</w:t>
            </w:r>
          </w:p>
        </w:tc>
        <w:tc>
          <w:tcPr>
            <w:tcW w:w="700" w:type="dxa"/>
          </w:tcPr>
          <w:p>
            <w:r>
              <w:t xml:space="preserve">26</w:t>
            </w:r>
          </w:p>
        </w:tc>
      </w:tr>
      <w:tr>
        <w:tc>
          <w:tcPr>
            <w:tcW w:w="700" w:type="dxa"/>
          </w:tcPr>
          <w:p>
            <w:r>
              <w:t xml:space="preserve">12.6</w:t>
            </w:r>
          </w:p>
        </w:tc>
        <w:tc>
          <w:tcPr>
            <w:tcW w:w="700" w:type="dxa"/>
          </w:tcPr>
          <w:p>
            <w:r>
              <w:t xml:space="preserve">0.99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  <w:tc>
          <w:tcPr>
            <w:tcW w:w="700" w:type="dxa"/>
          </w:tcPr>
          <w:p>
            <w:r>
              <w:t xml:space="preserve">15</w:t>
            </w:r>
          </w:p>
        </w:tc>
        <w:tc>
          <w:tcPr>
            <w:tcW w:w="700" w:type="dxa"/>
          </w:tcPr>
          <w:p>
            <w:r>
              <w:t xml:space="preserve">21</w:t>
            </w:r>
          </w:p>
        </w:tc>
        <w:tc>
          <w:tcPr>
            <w:tcW w:w="700" w:type="dxa"/>
          </w:tcPr>
          <w:p>
            <w:r>
              <w:t xml:space="preserve">13</w:t>
            </w:r>
          </w:p>
        </w:tc>
      </w:tr>
      <w:tr>
        <w:tc>
          <w:tcPr>
            <w:tcW w:w="700" w:type="dxa"/>
          </w:tcPr>
          <w:p>
            <w:r>
              <w:t xml:space="preserve">12.8</w:t>
            </w:r>
          </w:p>
        </w:tc>
        <w:tc>
          <w:tcPr>
            <w:tcW w:w="700" w:type="dxa"/>
          </w:tcPr>
          <w:p>
            <w:r>
              <w:t xml:space="preserve">1.14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  <w:tc>
          <w:tcPr>
            <w:tcW w:w="700" w:type="dxa"/>
          </w:tcPr>
          <w:p>
            <w:r>
              <w:t xml:space="preserve">24</w:t>
            </w:r>
          </w:p>
        </w:tc>
        <w:tc>
          <w:tcPr>
            <w:tcW w:w="700" w:type="dxa"/>
          </w:tcPr>
          <w:p>
            <w:r>
              <w:t xml:space="preserve">13</w:t>
            </w:r>
          </w:p>
        </w:tc>
        <w:tc>
          <w:tcPr>
            <w:tcW w:w="700" w:type="dxa"/>
          </w:tcPr>
          <w:p>
            <w:r>
              <w:t xml:space="preserve">20</w:t>
            </w:r>
          </w:p>
        </w:tc>
      </w:tr>
      <w:tr>
        <w:tc>
          <w:tcPr>
            <w:tcW w:w="700" w:type="dxa"/>
          </w:tcPr>
          <w:p>
            <w:r>
              <w:t xml:space="preserve">12.9</w:t>
            </w:r>
          </w:p>
        </w:tc>
        <w:tc>
          <w:tcPr>
            <w:tcW w:w="700" w:type="dxa"/>
          </w:tcPr>
          <w:p>
            <w:r>
              <w:t xml:space="preserve">1.04</w:t>
            </w:r>
          </w:p>
        </w:tc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18</w:t>
            </w:r>
          </w:p>
        </w:tc>
        <w:tc>
          <w:tcPr>
            <w:tcW w:w="700" w:type="dxa"/>
          </w:tcPr>
          <w:p>
            <w:r>
              <w:t xml:space="preserve">18</w:t>
            </w:r>
          </w:p>
        </w:tc>
        <w:tc>
          <w:tcPr>
            <w:tcW w:w="700" w:type="dxa"/>
          </w:tcPr>
          <w:p>
            <w:r>
              <w:t xml:space="preserve">14</w:t>
            </w:r>
          </w:p>
        </w:tc>
      </w:tr>
      <w:tr>
        <w:tc>
          <w:tcPr>
            <w:tcW w:w="700" w:type="dxa"/>
          </w:tcPr>
          <w:p>
            <w:r>
              <w:t xml:space="preserve">12.9</w:t>
            </w:r>
          </w:p>
        </w:tc>
        <w:tc>
          <w:tcPr>
            <w:tcW w:w="700" w:type="dxa"/>
          </w:tcPr>
          <w:p>
            <w:r>
              <w:t xml:space="preserve">0.69</w:t>
            </w:r>
          </w:p>
        </w:tc>
        <w:tc>
          <w:tcPr>
            <w:tcW w:w="700" w:type="dxa"/>
          </w:tcPr>
          <w:p>
            <w:r>
              <w:t xml:space="preserve">9</w:t>
            </w:r>
          </w:p>
        </w:tc>
        <w:tc>
          <w:tcPr>
            <w:tcW w:w="700" w:type="dxa"/>
          </w:tcPr>
          <w:p>
            <w:r>
              <w:t xml:space="preserve">8</w:t>
            </w:r>
          </w:p>
        </w:tc>
        <w:tc>
          <w:tcPr>
            <w:tcW w:w="700" w:type="dxa"/>
          </w:tcPr>
          <w:p>
            <w:r>
              <w:t xml:space="preserve">24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</w:tr>
      <w:tr>
        <w:tc>
          <w:tcPr>
            <w:tcW w:w="700" w:type="dxa"/>
          </w:tcPr>
          <w:p>
            <w:r>
              <w:t xml:space="preserve">13.1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  <w:tc>
          <w:tcPr>
            <w:tcW w:w="700" w:type="dxa"/>
          </w:tcPr>
          <w:p>
            <w:r>
              <w:t xml:space="preserve">16</w:t>
            </w:r>
          </w:p>
        </w:tc>
        <w:tc>
          <w:tcPr>
            <w:tcW w:w="700" w:type="dxa"/>
          </w:tcPr>
          <w:p>
            <w:r>
              <w:t xml:space="preserve">18</w:t>
            </w:r>
          </w:p>
        </w:tc>
        <w:tc>
          <w:tcPr>
            <w:tcW w:w="700" w:type="dxa"/>
          </w:tcPr>
          <w:p>
            <w:r>
              <w:t xml:space="preserve">12</w:t>
            </w:r>
          </w:p>
        </w:tc>
      </w:tr>
      <w:tr>
        <w:tc>
          <w:tcPr>
            <w:tcW w:w="700" w:type="dxa"/>
          </w:tcPr>
          <w:p>
            <w:r>
              <w:t xml:space="preserve">13.1</w:t>
            </w:r>
          </w:p>
        </w:tc>
        <w:tc>
          <w:tcPr>
            <w:tcW w:w="700" w:type="dxa"/>
          </w:tcPr>
          <w:p>
            <w:r>
              <w:t xml:space="preserve">0.62</w:t>
            </w:r>
          </w:p>
        </w:tc>
        <w:tc>
          <w:tcPr>
            <w:tcW w:w="700" w:type="dxa"/>
          </w:tcPr>
          <w:p>
            <w:r>
              <w:t xml:space="preserve">11</w:t>
            </w:r>
          </w:p>
        </w:tc>
        <w:tc>
          <w:tcPr>
            <w:tcW w:w="700" w:type="dxa"/>
          </w:tcPr>
          <w:p>
            <w:r>
              <w:t xml:space="preserve">5</w:t>
            </w:r>
          </w:p>
        </w:tc>
        <w:tc>
          <w:tcPr>
            <w:tcW w:w="700" w:type="dxa"/>
          </w:tcPr>
          <w:p>
            <w:r>
              <w:t xml:space="preserve">25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</w:tr>
      <w:tr>
        <w:tc>
          <w:tcPr>
            <w:tcW w:w="700" w:type="dxa"/>
          </w:tcPr>
          <w:p>
            <w:r>
              <w:t xml:space="preserve">13.5</w:t>
            </w:r>
          </w:p>
        </w:tc>
        <w:tc>
          <w:tcPr>
            <w:tcW w:w="700" w:type="dxa"/>
          </w:tcPr>
          <w:p>
            <w:r>
              <w:t xml:space="preserve">0.74</w:t>
            </w:r>
          </w:p>
        </w:tc>
        <w:tc>
          <w:tcPr>
            <w:tcW w:w="700" w:type="dxa"/>
          </w:tcPr>
          <w:p>
            <w:r>
              <w:t xml:space="preserve">12</w:t>
            </w:r>
          </w:p>
        </w:tc>
        <w:tc>
          <w:tcPr>
            <w:tcW w:w="700" w:type="dxa"/>
          </w:tcPr>
          <w:p>
            <w:r>
              <w:t xml:space="preserve">11</w:t>
            </w:r>
          </w:p>
        </w:tc>
        <w:tc>
          <w:tcPr>
            <w:tcW w:w="700" w:type="dxa"/>
          </w:tcPr>
          <w:p>
            <w:r>
              <w:t xml:space="preserve">20</w:t>
            </w:r>
          </w:p>
        </w:tc>
        <w:tc>
          <w:tcPr>
            <w:tcW w:w="700" w:type="dxa"/>
          </w:tcPr>
          <w:p>
            <w:r>
              <w:t xml:space="preserve">8</w:t>
            </w:r>
          </w:p>
        </w:tc>
      </w:tr>
      <w:tr>
        <w:tc>
          <w:tcPr>
            <w:tcW w:w="700" w:type="dxa"/>
          </w:tcPr>
          <w:p>
            <w:r>
              <w:t xml:space="preserve">13.8</w:t>
            </w:r>
          </w:p>
        </w:tc>
        <w:tc>
          <w:tcPr>
            <w:tcW w:w="700" w:type="dxa"/>
          </w:tcPr>
          <w:p>
            <w:r>
              <w:t xml:space="preserve">0.92</w:t>
            </w:r>
          </w:p>
        </w:tc>
        <w:tc>
          <w:tcPr>
            <w:tcW w:w="700" w:type="dxa"/>
          </w:tcPr>
          <w:p>
            <w:r>
              <w:t xml:space="preserve">13</w:t>
            </w:r>
          </w:p>
        </w:tc>
        <w:tc>
          <w:tcPr>
            <w:tcW w:w="700" w:type="dxa"/>
          </w:tcPr>
          <w:p>
            <w:r>
              <w:t xml:space="preserve">13</w:t>
            </w:r>
          </w:p>
        </w:tc>
        <w:tc>
          <w:tcPr>
            <w:tcW w:w="700" w:type="dxa"/>
          </w:tcPr>
          <w:p>
            <w:r>
              <w:t xml:space="preserve">19</w:t>
            </w:r>
          </w:p>
        </w:tc>
        <w:tc>
          <w:tcPr>
            <w:tcW w:w="700" w:type="dxa"/>
          </w:tcPr>
          <w:p>
            <w:r>
              <w:t xml:space="preserve">8</w:t>
            </w:r>
          </w:p>
        </w:tc>
      </w:tr>
      <w:tr>
        <w:tc>
          <w:tcPr>
            <w:tcW w:w="700" w:type="dxa"/>
          </w:tcPr>
          <w:p>
            <w:r>
              <w:t xml:space="preserve">14.2</w:t>
            </w:r>
          </w:p>
        </w:tc>
        <w:tc>
          <w:tcPr>
            <w:tcW w:w="700" w:type="dxa"/>
          </w:tcPr>
          <w:p>
            <w:r>
              <w:t xml:space="preserve">0.55</w:t>
            </w:r>
          </w:p>
        </w:tc>
        <w:tc>
          <w:tcPr>
            <w:tcW w:w="700" w:type="dxa"/>
          </w:tcPr>
          <w:p>
            <w:r>
              <w:t xml:space="preserve">14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24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15.9</w:t>
            </w:r>
          </w:p>
        </w:tc>
        <w:tc>
          <w:tcPr>
            <w:tcW w:w="700" w:type="dxa"/>
          </w:tcPr>
          <w:p>
            <w:r>
              <w:t xml:space="preserve">1.98</w:t>
            </w:r>
          </w:p>
        </w:tc>
        <w:tc>
          <w:tcPr>
            <w:tcW w:w="700" w:type="dxa"/>
          </w:tcPr>
          <w:p>
            <w:r>
              <w:t xml:space="preserve">15</w:t>
            </w:r>
          </w:p>
        </w:tc>
        <w:tc>
          <w:tcPr>
            <w:tcW w:w="700" w:type="dxa"/>
          </w:tcPr>
          <w:p>
            <w:r>
              <w:t xml:space="preserve">37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22</w:t>
            </w:r>
          </w:p>
        </w:tc>
      </w:tr>
      <w:tr>
        <w:tc>
          <w:tcPr>
            <w:tcW w:w="700" w:type="dxa"/>
          </w:tcPr>
          <w:p>
            <w:r>
              <w:t xml:space="preserve">16.5</w:t>
            </w:r>
          </w:p>
        </w:tc>
        <w:tc>
          <w:tcPr>
            <w:tcW w:w="700" w:type="dxa"/>
          </w:tcPr>
          <w:p>
            <w:r>
              <w:t xml:space="preserve">0.47</w:t>
            </w:r>
          </w:p>
        </w:tc>
        <w:tc>
          <w:tcPr>
            <w:tcW w:w="700" w:type="dxa"/>
          </w:tcPr>
          <w:p>
            <w:r>
              <w:t xml:space="preserve">16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23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16.8</w:t>
            </w:r>
          </w:p>
        </w:tc>
        <w:tc>
          <w:tcPr>
            <w:tcW w:w="700" w:type="dxa"/>
          </w:tcPr>
          <w:p>
            <w:r>
              <w:t xml:space="preserve">0.63</w:t>
            </w:r>
          </w:p>
        </w:tc>
        <w:tc>
          <w:tcPr>
            <w:tcW w:w="700" w:type="dxa"/>
          </w:tcPr>
          <w:p>
            <w:r>
              <w:t xml:space="preserve">17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  <w:tc>
          <w:tcPr>
            <w:tcW w:w="700" w:type="dxa"/>
          </w:tcPr>
          <w:p>
            <w:r>
              <w:t xml:space="preserve">21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17.1</w:t>
            </w:r>
          </w:p>
        </w:tc>
        <w:tc>
          <w:tcPr>
            <w:tcW w:w="700" w:type="dxa"/>
          </w:tcPr>
          <w:p>
            <w:r>
              <w:t xml:space="preserve">2.3</w:t>
            </w:r>
          </w:p>
        </w:tc>
        <w:tc>
          <w:tcPr>
            <w:tcW w:w="700" w:type="dxa"/>
          </w:tcPr>
          <w:p>
            <w:r>
              <w:t xml:space="preserve">18</w:t>
            </w:r>
          </w:p>
        </w:tc>
        <w:tc>
          <w:tcPr>
            <w:tcW w:w="700" w:type="dxa"/>
          </w:tcPr>
          <w:p>
            <w:r>
              <w:t xml:space="preserve">40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22</w:t>
            </w:r>
          </w:p>
        </w:tc>
      </w:tr>
      <w:tr>
        <w:tc>
          <w:tcPr>
            <w:tcW w:w="700" w:type="dxa"/>
          </w:tcPr>
          <w:p>
            <w:r>
              <w:t xml:space="preserve">17.4</w:t>
            </w:r>
          </w:p>
        </w:tc>
        <w:tc>
          <w:tcPr>
            <w:tcW w:w="700" w:type="dxa"/>
          </w:tcPr>
          <w:p>
            <w:r>
              <w:t xml:space="preserve">1.94</w:t>
            </w:r>
          </w:p>
        </w:tc>
        <w:tc>
          <w:tcPr>
            <w:tcW w:w="700" w:type="dxa"/>
          </w:tcPr>
          <w:p>
            <w:r>
              <w:t xml:space="preserve">19</w:t>
            </w:r>
          </w:p>
        </w:tc>
        <w:tc>
          <w:tcPr>
            <w:tcW w:w="700" w:type="dxa"/>
          </w:tcPr>
          <w:p>
            <w:r>
              <w:t xml:space="preserve">36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19</w:t>
            </w:r>
          </w:p>
        </w:tc>
      </w:tr>
      <w:tr>
        <w:tc>
          <w:tcPr>
            <w:tcW w:w="700" w:type="dxa"/>
          </w:tcPr>
          <w:p>
            <w:r>
              <w:t xml:space="preserve">17.6</w:t>
            </w:r>
          </w:p>
        </w:tc>
        <w:tc>
          <w:tcPr>
            <w:tcW w:w="700" w:type="dxa"/>
          </w:tcPr>
          <w:p>
            <w:r>
              <w:t xml:space="preserve">1.44</w:t>
            </w:r>
          </w:p>
        </w:tc>
        <w:tc>
          <w:tcPr>
            <w:tcW w:w="700" w:type="dxa"/>
          </w:tcPr>
          <w:p>
            <w:r>
              <w:t xml:space="preserve">20</w:t>
            </w:r>
          </w:p>
        </w:tc>
        <w:tc>
          <w:tcPr>
            <w:tcW w:w="700" w:type="dxa"/>
          </w:tcPr>
          <w:p>
            <w:r>
              <w:t xml:space="preserve">32</w:t>
            </w:r>
          </w:p>
        </w:tc>
        <w:tc>
          <w:tcPr>
            <w:tcW w:w="700" w:type="dxa"/>
          </w:tcPr>
          <w:p>
            <w:r>
              <w:t xml:space="preserve">5</w:t>
            </w:r>
          </w:p>
        </w:tc>
        <w:tc>
          <w:tcPr>
            <w:tcW w:w="700" w:type="dxa"/>
          </w:tcPr>
          <w:p>
            <w:r>
              <w:t xml:space="preserve">15</w:t>
            </w:r>
          </w:p>
        </w:tc>
      </w:tr>
      <w:tr>
        <w:tc>
          <w:tcPr>
            <w:tcW w:w="700" w:type="dxa"/>
          </w:tcPr>
          <w:p>
            <w:r>
              <w:t xml:space="preserve">17.7</w:t>
            </w:r>
          </w:p>
        </w:tc>
        <w:tc>
          <w:tcPr>
            <w:tcW w:w="700" w:type="dxa"/>
          </w:tcPr>
          <w:p>
            <w:r>
              <w:t xml:space="preserve">1.48</w:t>
            </w:r>
          </w:p>
        </w:tc>
        <w:tc>
          <w:tcPr>
            <w:tcW w:w="700" w:type="dxa"/>
          </w:tcPr>
          <w:p>
            <w:r>
              <w:t xml:space="preserve">21</w:t>
            </w:r>
          </w:p>
        </w:tc>
        <w:tc>
          <w:tcPr>
            <w:tcW w:w="700" w:type="dxa"/>
          </w:tcPr>
          <w:p>
            <w:r>
              <w:t xml:space="preserve">33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15</w:t>
            </w:r>
          </w:p>
        </w:tc>
      </w:tr>
      <w:tr>
        <w:tc>
          <w:tcPr>
            <w:tcW w:w="700" w:type="dxa"/>
          </w:tcPr>
          <w:p>
            <w:r>
              <w:t xml:space="preserve">18.4</w:t>
            </w:r>
          </w:p>
        </w:tc>
        <w:tc>
          <w:tcPr>
            <w:tcW w:w="700" w:type="dxa"/>
          </w:tcPr>
          <w:p>
            <w:r>
              <w:t xml:space="preserve">0.46</w:t>
            </w:r>
          </w:p>
        </w:tc>
        <w:tc>
          <w:tcPr>
            <w:tcW w:w="700" w:type="dxa"/>
          </w:tcPr>
          <w:p>
            <w:r>
              <w:t xml:space="preserve">22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18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18.5</w:t>
            </w:r>
          </w:p>
        </w:tc>
        <w:tc>
          <w:tcPr>
            <w:tcW w:w="700" w:type="dxa"/>
          </w:tcPr>
          <w:p>
            <w:r>
              <w:t xml:space="preserve">0.66</w:t>
            </w:r>
          </w:p>
        </w:tc>
        <w:tc>
          <w:tcPr>
            <w:tcW w:w="700" w:type="dxa"/>
          </w:tcPr>
          <w:p>
            <w:r>
              <w:t xml:space="preserve">23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  <w:tc>
          <w:tcPr>
            <w:tcW w:w="700" w:type="dxa"/>
          </w:tcPr>
          <w:p>
            <w:r>
              <w:t xml:space="preserve">16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18.5</w:t>
            </w:r>
          </w:p>
        </w:tc>
        <w:tc>
          <w:tcPr>
            <w:tcW w:w="700" w:type="dxa"/>
          </w:tcPr>
          <w:p>
            <w:r>
              <w:t xml:space="preserve">1.33</w:t>
            </w:r>
          </w:p>
        </w:tc>
        <w:tc>
          <w:tcPr>
            <w:tcW w:w="700" w:type="dxa"/>
          </w:tcPr>
          <w:p>
            <w:r>
              <w:t xml:space="preserve">24</w:t>
            </w:r>
          </w:p>
        </w:tc>
        <w:tc>
          <w:tcPr>
            <w:tcW w:w="700" w:type="dxa"/>
          </w:tcPr>
          <w:p>
            <w:r>
              <w:t xml:space="preserve">29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12</w:t>
            </w:r>
          </w:p>
        </w:tc>
      </w:tr>
      <w:tr>
        <w:tc>
          <w:tcPr>
            <w:tcW w:w="700" w:type="dxa"/>
          </w:tcPr>
          <w:p>
            <w:r>
              <w:t xml:space="preserve">18.7</w:t>
            </w:r>
          </w:p>
        </w:tc>
        <w:tc>
          <w:tcPr>
            <w:tcW w:w="700" w:type="dxa"/>
          </w:tcPr>
          <w:p>
            <w:r>
              <w:t xml:space="preserve">1.15</w:t>
            </w:r>
          </w:p>
        </w:tc>
        <w:tc>
          <w:tcPr>
            <w:tcW w:w="700" w:type="dxa"/>
          </w:tcPr>
          <w:p>
            <w:r>
              <w:t xml:space="preserve">25</w:t>
            </w:r>
          </w:p>
        </w:tc>
        <w:tc>
          <w:tcPr>
            <w:tcW w:w="700" w:type="dxa"/>
          </w:tcPr>
          <w:p>
            <w:r>
              <w:t xml:space="preserve">25</w:t>
            </w:r>
          </w:p>
        </w:tc>
        <w:tc>
          <w:tcPr>
            <w:tcW w:w="700" w:type="dxa"/>
          </w:tcPr>
          <w:p>
            <w:r>
              <w:t xml:space="preserve">6</w:t>
            </w:r>
          </w:p>
        </w:tc>
        <w:tc>
          <w:tcPr>
            <w:tcW w:w="700" w:type="dxa"/>
          </w:tcPr>
          <w:p>
            <w:r>
              <w:t xml:space="preserve">9</w:t>
            </w:r>
          </w:p>
        </w:tc>
      </w:tr>
      <w:tr>
        <w:tc>
          <w:tcPr>
            <w:tcW w:w="700" w:type="dxa"/>
          </w:tcPr>
          <w:p>
            <w:r>
              <w:t xml:space="preserve">18.9</w:t>
            </w:r>
          </w:p>
        </w:tc>
        <w:tc>
          <w:tcPr>
            <w:tcW w:w="700" w:type="dxa"/>
          </w:tcPr>
          <w:p>
            <w:r>
              <w:t xml:space="preserve">2.22</w:t>
            </w:r>
          </w:p>
        </w:tc>
        <w:tc>
          <w:tcPr>
            <w:tcW w:w="700" w:type="dxa"/>
          </w:tcPr>
          <w:p>
            <w:r>
              <w:t xml:space="preserve">26</w:t>
            </w:r>
          </w:p>
        </w:tc>
        <w:tc>
          <w:tcPr>
            <w:tcW w:w="700" w:type="dxa"/>
          </w:tcPr>
          <w:p>
            <w:r>
              <w:t xml:space="preserve">39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14</w:t>
            </w:r>
          </w:p>
        </w:tc>
      </w:tr>
      <w:tr>
        <w:tc>
          <w:tcPr>
            <w:tcW w:w="700" w:type="dxa"/>
          </w:tcPr>
          <w:p>
            <w:r>
              <w:t xml:space="preserve">19.7</w:t>
            </w:r>
          </w:p>
        </w:tc>
        <w:tc>
          <w:tcPr>
            <w:tcW w:w="700" w:type="dxa"/>
          </w:tcPr>
          <w:p>
            <w:r>
              <w:t xml:space="preserve">0.93</w:t>
            </w:r>
          </w:p>
        </w:tc>
        <w:tc>
          <w:tcPr>
            <w:tcW w:w="700" w:type="dxa"/>
          </w:tcPr>
          <w:p>
            <w:r>
              <w:t xml:space="preserve">27</w:t>
            </w:r>
          </w:p>
        </w:tc>
        <w:tc>
          <w:tcPr>
            <w:tcW w:w="700" w:type="dxa"/>
          </w:tcPr>
          <w:p>
            <w:r>
              <w:t xml:space="preserve">14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</w:tr>
      <w:tr>
        <w:tc>
          <w:tcPr>
            <w:tcW w:w="700" w:type="dxa"/>
          </w:tcPr>
          <w:p>
            <w:r>
              <w:t xml:space="preserve">19.8</w:t>
            </w:r>
          </w:p>
        </w:tc>
        <w:tc>
          <w:tcPr>
            <w:tcW w:w="700" w:type="dxa"/>
          </w:tcPr>
          <w:p>
            <w:r>
              <w:t xml:space="preserve">1.72</w:t>
            </w:r>
          </w:p>
        </w:tc>
        <w:tc>
          <w:tcPr>
            <w:tcW w:w="700" w:type="dxa"/>
          </w:tcPr>
          <w:p>
            <w:r>
              <w:t xml:space="preserve">28</w:t>
            </w:r>
          </w:p>
        </w:tc>
        <w:tc>
          <w:tcPr>
            <w:tcW w:w="700" w:type="dxa"/>
          </w:tcPr>
          <w:p>
            <w:r>
              <w:t xml:space="preserve">35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11</w:t>
            </w:r>
          </w:p>
        </w:tc>
      </w:tr>
      <w:tr>
        <w:tc>
          <w:tcPr>
            <w:tcW w:w="700" w:type="dxa"/>
          </w:tcPr>
          <w:p>
            <w:r>
              <w:t xml:space="preserve">21.1</w:t>
            </w:r>
          </w:p>
        </w:tc>
        <w:tc>
          <w:tcPr>
            <w:tcW w:w="700" w:type="dxa"/>
          </w:tcPr>
          <w:p>
            <w:r>
              <w:t xml:space="preserve">1.08</w:t>
            </w:r>
          </w:p>
        </w:tc>
        <w:tc>
          <w:tcPr>
            <w:tcW w:w="700" w:type="dxa"/>
          </w:tcPr>
          <w:p>
            <w:r>
              <w:t xml:space="preserve">29</w:t>
            </w:r>
          </w:p>
        </w:tc>
        <w:tc>
          <w:tcPr>
            <w:tcW w:w="700" w:type="dxa"/>
          </w:tcPr>
          <w:p>
            <w:r>
              <w:t xml:space="preserve">20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</w:tr>
      <w:tr>
        <w:tc>
          <w:tcPr>
            <w:tcW w:w="700" w:type="dxa"/>
          </w:tcPr>
          <w:p>
            <w:r>
              <w:t xml:space="preserve">21.1</w:t>
            </w:r>
          </w:p>
        </w:tc>
        <w:tc>
          <w:tcPr>
            <w:tcW w:w="700" w:type="dxa"/>
          </w:tcPr>
          <w:p>
            <w:r>
              <w:t xml:space="preserve">1.18</w:t>
            </w:r>
          </w:p>
        </w:tc>
        <w:tc>
          <w:tcPr>
            <w:tcW w:w="700" w:type="dxa"/>
          </w:tcPr>
          <w:p>
            <w:r>
              <w:t xml:space="preserve">30</w:t>
            </w:r>
          </w:p>
        </w:tc>
        <w:tc>
          <w:tcPr>
            <w:tcW w:w="700" w:type="dxa"/>
          </w:tcPr>
          <w:p>
            <w:r>
              <w:t xml:space="preserve">26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</w:tr>
      <w:tr>
        <w:tc>
          <w:tcPr>
            <w:tcW w:w="700" w:type="dxa"/>
          </w:tcPr>
          <w:p>
            <w:r>
              <w:t xml:space="preserve">21.3</w:t>
            </w:r>
          </w:p>
        </w:tc>
        <w:tc>
          <w:tcPr>
            <w:tcW w:w="700" w:type="dxa"/>
          </w:tcPr>
          <w:p>
            <w:r>
              <w:t xml:space="preserve">1.09</w:t>
            </w:r>
          </w:p>
        </w:tc>
        <w:tc>
          <w:tcPr>
            <w:tcW w:w="700" w:type="dxa"/>
          </w:tcPr>
          <w:p>
            <w:r>
              <w:t xml:space="preserve">31</w:t>
            </w:r>
          </w:p>
        </w:tc>
        <w:tc>
          <w:tcPr>
            <w:tcW w:w="700" w:type="dxa"/>
          </w:tcPr>
          <w:p>
            <w:r>
              <w:t xml:space="preserve">21</w:t>
            </w:r>
          </w:p>
        </w:tc>
        <w:tc>
          <w:tcPr>
            <w:tcW w:w="700" w:type="dxa"/>
          </w:tcPr>
          <w:p>
            <w:r>
              <w:t xml:space="preserve">5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</w:tr>
      <w:tr>
        <w:tc>
          <w:tcPr>
            <w:tcW w:w="700" w:type="dxa"/>
          </w:tcPr>
          <w:p>
            <w:r>
              <w:t xml:space="preserve">21.4</w:t>
            </w:r>
          </w:p>
        </w:tc>
        <w:tc>
          <w:tcPr>
            <w:tcW w:w="700" w:type="dxa"/>
          </w:tcPr>
          <w:p>
            <w:r>
              <w:t xml:space="preserve">1.69</w:t>
            </w:r>
          </w:p>
        </w:tc>
        <w:tc>
          <w:tcPr>
            <w:tcW w:w="700" w:type="dxa"/>
          </w:tcPr>
          <w:p>
            <w:r>
              <w:t xml:space="preserve">32</w:t>
            </w:r>
          </w:p>
        </w:tc>
        <w:tc>
          <w:tcPr>
            <w:tcW w:w="700" w:type="dxa"/>
          </w:tcPr>
          <w:p>
            <w:r>
              <w:t xml:space="preserve">34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</w:tr>
      <w:tr>
        <w:tc>
          <w:tcPr>
            <w:tcW w:w="700" w:type="dxa"/>
          </w:tcPr>
          <w:p>
            <w:r>
              <w:t xml:space="preserve">21.8</w:t>
            </w:r>
          </w:p>
        </w:tc>
        <w:tc>
          <w:tcPr>
            <w:tcW w:w="700" w:type="dxa"/>
          </w:tcPr>
          <w:p>
            <w:r>
              <w:t xml:space="preserve">0.72</w:t>
            </w:r>
          </w:p>
        </w:tc>
        <w:tc>
          <w:tcPr>
            <w:tcW w:w="700" w:type="dxa"/>
          </w:tcPr>
          <w:p>
            <w:r>
              <w:t xml:space="preserve">33</w:t>
            </w:r>
          </w:p>
        </w:tc>
        <w:tc>
          <w:tcPr>
            <w:tcW w:w="700" w:type="dxa"/>
          </w:tcPr>
          <w:p>
            <w:r>
              <w:t xml:space="preserve">10</w:t>
            </w:r>
          </w:p>
        </w:tc>
        <w:tc>
          <w:tcPr>
            <w:tcW w:w="700" w:type="dxa"/>
          </w:tcPr>
          <w:p>
            <w:r>
              <w:t xml:space="preserve">5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22.3</w:t>
            </w:r>
          </w:p>
        </w:tc>
        <w:tc>
          <w:tcPr>
            <w:tcW w:w="700" w:type="dxa"/>
          </w:tcPr>
          <w:p>
            <w:r>
              <w:t xml:space="preserve">0.71</w:t>
            </w:r>
          </w:p>
        </w:tc>
        <w:tc>
          <w:tcPr>
            <w:tcW w:w="700" w:type="dxa"/>
          </w:tcPr>
          <w:p>
            <w:r>
              <w:t xml:space="preserve">34</w:t>
            </w:r>
          </w:p>
        </w:tc>
        <w:tc>
          <w:tcPr>
            <w:tcW w:w="700" w:type="dxa"/>
          </w:tcPr>
          <w:p>
            <w:r>
              <w:t xml:space="preserve">9</w:t>
            </w:r>
          </w:p>
        </w:tc>
        <w:tc>
          <w:tcPr>
            <w:tcW w:w="700" w:type="dxa"/>
          </w:tcPr>
          <w:p>
            <w:r>
              <w:t xml:space="preserve">5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22.8</w:t>
            </w:r>
          </w:p>
        </w:tc>
        <w:tc>
          <w:tcPr>
            <w:tcW w:w="700" w:type="dxa"/>
          </w:tcPr>
          <w:p>
            <w:r>
              <w:t xml:space="preserve">1.11</w:t>
            </w:r>
          </w:p>
        </w:tc>
        <w:tc>
          <w:tcPr>
            <w:tcW w:w="700" w:type="dxa"/>
          </w:tcPr>
          <w:p>
            <w:r>
              <w:t xml:space="preserve">35</w:t>
            </w:r>
          </w:p>
        </w:tc>
        <w:tc>
          <w:tcPr>
            <w:tcW w:w="700" w:type="dxa"/>
          </w:tcPr>
          <w:p>
            <w:r>
              <w:t xml:space="preserve">22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23.7</w:t>
            </w:r>
          </w:p>
        </w:tc>
        <w:tc>
          <w:tcPr>
            <w:tcW w:w="700" w:type="dxa"/>
          </w:tcPr>
          <w:p>
            <w:r>
              <w:t xml:space="preserve">1.11</w:t>
            </w:r>
          </w:p>
        </w:tc>
        <w:tc>
          <w:tcPr>
            <w:tcW w:w="700" w:type="dxa"/>
          </w:tcPr>
          <w:p>
            <w:r>
              <w:t xml:space="preserve">36</w:t>
            </w:r>
          </w:p>
        </w:tc>
        <w:tc>
          <w:tcPr>
            <w:tcW w:w="700" w:type="dxa"/>
          </w:tcPr>
          <w:p>
            <w:r>
              <w:t xml:space="preserve">23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24.1</w:t>
            </w:r>
          </w:p>
        </w:tc>
        <w:tc>
          <w:tcPr>
            <w:tcW w:w="700" w:type="dxa"/>
          </w:tcPr>
          <w:p>
            <w:r>
              <w:t xml:space="preserve">0.58</w:t>
            </w:r>
          </w:p>
        </w:tc>
        <w:tc>
          <w:tcPr>
            <w:tcW w:w="700" w:type="dxa"/>
          </w:tcPr>
          <w:p>
            <w:r>
              <w:t xml:space="preserve">37</w:t>
            </w:r>
          </w:p>
        </w:tc>
        <w:tc>
          <w:tcPr>
            <w:tcW w:w="700" w:type="dxa"/>
          </w:tcPr>
          <w:p>
            <w:r>
              <w:t xml:space="preserve">4</w:t>
            </w:r>
          </w:p>
        </w:tc>
        <w:tc>
          <w:tcPr>
            <w:tcW w:w="700" w:type="dxa"/>
          </w:tcPr>
          <w:p>
            <w:r>
              <w:t xml:space="preserve">3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>
            <w:r>
              <w:t xml:space="preserve">27.1</w:t>
            </w:r>
          </w:p>
        </w:tc>
        <w:tc>
          <w:tcPr>
            <w:tcW w:w="700" w:type="dxa"/>
          </w:tcPr>
          <w:p>
            <w:r>
              <w:t xml:space="preserve">2.16</w:t>
            </w:r>
          </w:p>
        </w:tc>
        <w:tc>
          <w:tcPr>
            <w:tcW w:w="700" w:type="dxa"/>
          </w:tcPr>
          <w:p>
            <w:r>
              <w:t xml:space="preserve">38</w:t>
            </w:r>
          </w:p>
        </w:tc>
        <w:tc>
          <w:tcPr>
            <w:tcW w:w="700" w:type="dxa"/>
          </w:tcPr>
          <w:p>
            <w:r>
              <w:t xml:space="preserve">38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2</w:t>
            </w:r>
          </w:p>
        </w:tc>
      </w:tr>
      <w:tr>
        <w:tc>
          <w:tcPr>
            <w:tcW w:w="700" w:type="dxa"/>
          </w:tcPr>
          <w:p>
            <w:r>
              <w:t xml:space="preserve">28.3</w:t>
            </w:r>
          </w:p>
        </w:tc>
        <w:tc>
          <w:tcPr>
            <w:tcW w:w="700" w:type="dxa"/>
          </w:tcPr>
          <w:p>
            <w:r>
              <w:t xml:space="preserve">1.2</w:t>
            </w:r>
          </w:p>
        </w:tc>
        <w:tc>
          <w:tcPr>
            <w:tcW w:w="700" w:type="dxa"/>
          </w:tcPr>
          <w:p>
            <w:r>
              <w:t xml:space="preserve">39</w:t>
            </w:r>
          </w:p>
        </w:tc>
        <w:tc>
          <w:tcPr>
            <w:tcW w:w="700" w:type="dxa"/>
          </w:tcPr>
          <w:p>
            <w:r>
              <w:t xml:space="preserve">27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</w:t>
            </w:r>
          </w:p>
        </w:tc>
      </w:tr>
      <w:tr>
        <w:tc>
          <w:tcPr>
            <w:tcW w:w="700" w:type="dxa"/>
          </w:tcPr>
          <w:p>
            <w:r>
              <w:t xml:space="preserve">44.8</w:t>
            </w:r>
          </w:p>
        </w:tc>
        <w:tc>
          <w:tcPr>
            <w:tcW w:w="700" w:type="dxa"/>
          </w:tcPr>
          <w:p>
            <w:r>
              <w:t xml:space="preserve">1.06</w:t>
            </w:r>
          </w:p>
        </w:tc>
        <w:tc>
          <w:tcPr>
            <w:tcW w:w="700" w:type="dxa"/>
          </w:tcPr>
          <w:p>
            <w:r>
              <w:t xml:space="preserve">40</w:t>
            </w:r>
          </w:p>
        </w:tc>
        <w:tc>
          <w:tcPr>
            <w:tcW w:w="700" w:type="dxa"/>
          </w:tcPr>
          <w:p>
            <w:r>
              <w:t xml:space="preserve">19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</w:tr>
      <w:tr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700" w:type="dxa"/>
          </w:tcPr>
          <w:p/>
        </w:tc>
        <w:tc>
          <w:tcPr>
            <w:tcW w:w="700" w:type="dxa"/>
          </w:tcPr>
          <w:p>
            <w:r>
              <w:t xml:space="preserve">406</w:t>
            </w:r>
          </w:p>
        </w:tc>
        <w:tc>
          <w:tcPr>
            <w:tcW w:w="700" w:type="dxa"/>
          </w:tcPr>
          <w:p>
            <w:r>
              <w:t xml:space="preserve">374</w:t>
            </w:r>
          </w:p>
        </w:tc>
      </w:tr>
    </w:tbl>
    <w:p>
      <m:oMathPara>
        <m:oMath>
          <m:r>
            <m:t>τ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406 - 374</m:t>
              </m:r>
            </m:num>
            <m:den>
              <m:r>
                <m:t>1/2∙40(40-1)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0.04</m:t>
          </m:r>
        </m:oMath>
      </m:oMathPara>
    </w:p>
    <w:p>
      <w:pPr>
        <w:pStyle w:val="pStyle"/>
      </w:pPr>
      <w:r>
        <w:t xml:space="preserve">По упрощенным формулам:</w:t>
      </w:r>
    </w:p>
    <w:p>
      <m:oMathPara>
        <m:oMath>
          <m:r>
            <m:t>τ</m:t>
          </m:r>
        </m:oMath>
      </m:oMathPara>
      <m:oMathPara>
        <m:oMath>
          <m:r>
            <m:t>=</m:t>
          </m:r>
        </m:oMath>
      </m:oMathPara>
      <m:oMathPara>
        <m:oMath>
          <m:r>
            <m:t>1 - </m:t>
          </m:r>
          <m:f>
            <m:num>
              <m:r>
                <m:t>4∙374</m:t>
              </m:r>
            </m:num>
            <m:den>
              <m:r>
                <m:t>40(40-1)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0.04</m:t>
          </m:r>
        </m:oMath>
      </m:oMathPara>
    </w:p>
    <w:p>
      <m:oMathPara>
        <m:oMath>
          <m:r>
            <m:t>τ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4∙406</m:t>
              </m:r>
            </m:num>
            <m:den>
              <m:r>
                <m:t>40(40-1)</m:t>
              </m:r>
            </m:den>
          </m:f>
          <m:r>
            <m:t> - 1</m:t>
          </m:r>
        </m:oMath>
      </m:oMathPara>
      <m:oMathPara>
        <m:oMath>
          <m:r>
            <m:t>=</m:t>
          </m:r>
        </m:oMath>
      </m:oMathPara>
      <m:oMathPara>
        <m:oMath>
          <m:r>
            <m:t>0.04</m:t>
          </m:r>
        </m:oMath>
      </m:oMathPara>
    </w:p>
    <w:p>
      <w:pPr>
        <w:pStyle w:val="pStyle"/>
      </w:pPr>
      <w:r>
        <w:t xml:space="preserve">Для того чтобы при уровне значимости α проверить нулевую гипотезу о равенстве нулю генерального коэффициента ранговой корреляции Кендалла при конкурирующей гипотезе Н</w:t>
      </w:r>
      <w:r>
        <w:rPr>
          <w:vertAlign w:val="subscript"/>
        </w:rPr>
        <w:t>1</w:t>
      </w:r>
      <w:r>
        <w:t xml:space="preserve">: τ  ≠ 0,надо вычислить критическую точку:</w:t>
      </w:r>
    </w:p>
    <w:p>
      <m:oMathPara>
        <m:oMath>
          <m:sSub>
            <m:e>
              <m:r>
                <m:t>T</m:t>
              </m:r>
            </m:e>
            <m:sub>
              <m:r>
                <m:t>kp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z</m:t>
              </m:r>
            </m:e>
            <m:sub>
              <m:r>
                <m:t>kp</m:t>
              </m:r>
            </m:sub>
          </m:sSub>
          <m:r>
            <m:t> </m:t>
          </m:r>
          <m:rad>
            <m:radPr>
              <m:degHide m:val="1"/>
              <m:ctrlPr/>
            </m:radPr>
            <m:deg/>
            <m:e>
              <m:f>
                <m:num>
                  <m:r>
                    <m:t>2(2n+5)</m:t>
                  </m:r>
                </m:num>
                <m:den>
                  <m:r>
                    <m:t>9n(n-1)</m:t>
                  </m:r>
                </m:den>
              </m:f>
            </m:e>
          </m:rad>
        </m:oMath>
      </m:oMathPara>
    </w:p>
    <w:p>
      <w:pPr>
        <w:pStyle w:val="pStyle"/>
      </w:pPr>
      <w:r>
        <w:t xml:space="preserve">где n - объем выборки; z</w:t>
      </w:r>
      <w:r>
        <w:rPr>
          <w:vertAlign w:val="subscript"/>
        </w:rPr>
        <w:t>kp</w:t>
      </w:r>
      <w:r>
        <w:t xml:space="preserve"> - критическая точка двусторонней критической области, которую находят по таблице функции Лапласа по равенству Ф(z</w:t>
      </w:r>
      <w:r>
        <w:rPr>
          <w:vertAlign w:val="subscript"/>
        </w:rPr>
        <w:t>kp</w:t>
      </w:r>
      <w:r>
        <w:t xml:space="preserve">)=(1 — α)/2.</w:t>
      </w:r>
    </w:p>
    <w:p>
      <w:pPr>
        <w:pStyle w:val="pStyle"/>
      </w:pPr>
      <w:r>
        <w:t xml:space="preserve">Если |τ| &lt; T</w:t>
      </w:r>
      <w:r>
        <w:rPr>
          <w:vertAlign w:val="subscript"/>
        </w:rPr>
        <w:t>kp</w:t>
      </w:r>
      <w:r>
        <w:t xml:space="preserve"> — нет оснований отвергнуть нулевую гипотезу. Ранговая корреляционная связь между качественными признаками незначима. Если |τ| &gt; T</w:t>
      </w:r>
      <w:r>
        <w:rPr>
          <w:vertAlign w:val="subscript"/>
        </w:rPr>
        <w:t>kp</w:t>
      </w:r>
      <w:r>
        <w:t xml:space="preserve"> — нулевую гипотезу отвергают. Между качественными признаками существует значимая ранговая корреляционная связь.</w:t>
      </w:r>
    </w:p>
    <w:p>
      <w:pPr>
        <w:pStyle w:val="pStyle"/>
      </w:pPr>
      <w:r>
        <w:t xml:space="preserve">Найдем критическую точку z</w:t>
      </w:r>
      <w:r>
        <w:rPr>
          <w:vertAlign w:val="subscript"/>
        </w:rPr>
        <w:t>kp</w:t>
      </w:r>
    </w:p>
    <w:p>
      <w:pPr>
        <w:pStyle w:val="pStyle"/>
      </w:pPr>
      <w:r>
        <w:t xml:space="preserve">Ф(z</w:t>
      </w:r>
      <w:r>
        <w:rPr>
          <w:vertAlign w:val="subscript"/>
        </w:rPr>
        <w:t>kp</w:t>
      </w:r>
      <w:r>
        <w:t xml:space="preserve">) = (1 - α)/2 = (1 - 0.05)/2 = 0.475</w:t>
      </w:r>
    </w:p>
    <w:p>
      <w:pPr>
        <w:pStyle w:val="pStyle"/>
      </w:pPr>
      <w:r>
        <w:t xml:space="preserve">По таблице Лапласа находим z</w:t>
      </w:r>
      <w:r>
        <w:rPr>
          <w:vertAlign w:val="subscript"/>
        </w:rPr>
        <w:t>kp</w:t>
      </w:r>
      <w:r>
        <w:t xml:space="preserve"> = 1.96</w:t>
      </w:r>
    </w:p>
    <w:p>
      <w:pPr>
        <w:pStyle w:val="pStyle"/>
      </w:pPr>
      <w:r>
        <w:t xml:space="preserve">Найдем критическую точку:</w:t>
      </w:r>
    </w:p>
    <w:p>
      <m:oMathPara>
        <m:oMath>
          <m:sSub>
            <m:e>
              <m:r>
                <m:t>T</m:t>
              </m:r>
            </m:e>
            <m:sub>
              <m:r>
                <m:t>kp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1.96 </m:t>
          </m:r>
          <m:rad>
            <m:radPr>
              <m:degHide m:val="1"/>
              <m:ctrlPr/>
            </m:radPr>
            <m:deg/>
            <m:e>
              <m:f>
                <m:num>
                  <m:r>
                    <m:t>2(2∙40+5)</m:t>
                  </m:r>
                </m:num>
                <m:den>
                  <m:r>
                    <m:t>9∙40(40-1)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0.22</m:t>
          </m:r>
        </m:oMath>
      </m:oMathPara>
    </w:p>
    <w:p>
      <w:pPr>
        <w:pStyle w:val="pStyle"/>
      </w:pPr>
      <w:r>
        <w:t xml:space="preserve">Так как τ &lt; T</w:t>
      </w:r>
      <w:r>
        <w:rPr>
          <w:vertAlign w:val="subscript"/>
        </w:rPr>
        <w:t>kp</w:t>
      </w:r>
      <w:r>
        <w:t xml:space="preserve"> — принимаем нулевую гипотезу; ранговая корреляционная связь между оценками по двум тестам незначимая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Коэффициент Кендэла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Коэффициент контингенции</w:t>
        </w:r>
      </w:hyperlink>
    </w:p>
    <w:p>
      <w:hyperlink r:id="rId9" w:history="1">
        <w:r>
          <w:rPr>
            <w:color w:val="0000FF"/>
            <w:u w:val="single"/>
          </w:rPr>
          <w:t xml:space="preserve">Коэффициент конкордации</w:t>
        </w:r>
      </w:hyperlink>
    </w:p>
    <w:p>
      <w:hyperlink r:id="rId10" w:history="1">
        <w:r>
          <w:rPr>
            <w:color w:val="0000FF"/>
            <w:u w:val="single"/>
          </w:rPr>
          <w:t xml:space="preserve">Математические методы в психологии</w:t>
        </w:r>
      </w:hyperlink>
    </w:p>
    <w:p>
      <w:hyperlink r:id="rId11" w:history="1">
        <w:r>
          <w:rPr>
            <w:color w:val="0000FF"/>
            <w:u w:val="single"/>
          </w:rPr>
          <w:t xml:space="preserve">Коэффициент ранговой корреляции Спирмена</w:t>
        </w:r>
      </w:hyperlink>
    </w:p>
    <w:p>
      <w:hyperlink r:id="rId12" w:history="1">
        <w:r>
          <w:rPr>
            <w:color w:val="0000FF"/>
            <w:u w:val="single"/>
          </w:rPr>
          <w:t xml:space="preserve">Однофакторный дисперсионный анализ</w:t>
        </w:r>
      </w:hyperlink>
    </w:p>
    <w:p>
      <w:hyperlink r:id="rId13" w:history="1">
        <w:r>
          <w:rPr>
            <w:color w:val="0000FF"/>
            <w:u w:val="single"/>
          </w:rPr>
          <w:t xml:space="preserve">Двухфакторный дисперсионный анализ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corel/kendel.php" TargetMode="External"/>
  <Relationship Id="rId8" Type="http://schemas.openxmlformats.org/officeDocument/2006/relationships/hyperlink" Target="https://math.semestr.ru/corel/contingency.php" TargetMode="External"/>
  <Relationship Id="rId9" Type="http://schemas.openxmlformats.org/officeDocument/2006/relationships/hyperlink" Target="https://math.semestr.ru/corel/concordance.php" TargetMode="External"/>
  <Relationship Id="rId10" Type="http://schemas.openxmlformats.org/officeDocument/2006/relationships/hyperlink" Target="https://math.semestr.ru/group/mathematical-psychology.php" TargetMode="External"/>
  <Relationship Id="rId11" Type="http://schemas.openxmlformats.org/officeDocument/2006/relationships/hyperlink" Target="https://math.semestr.ru/corel/spirmen.php" TargetMode="External"/>
  <Relationship Id="rId12" Type="http://schemas.openxmlformats.org/officeDocument/2006/relationships/hyperlink" Target="https://math.semestr.ru/group/factor.php" TargetMode="External"/>
  <Relationship Id="rId13" Type="http://schemas.openxmlformats.org/officeDocument/2006/relationships/hyperlink" Target="https://math.semestr.ru/group/two-factor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2024-08-17T07:07:00+03:00</dcterms:created>
  <dcterms:modified xsi:type="dcterms:W3CDTF">2024-08-17T07:07:00+03:00</dcterms:modified>
  <dc:title>Коэффициент Кендэла</dc:title>
  <dc:description>Коэффициент Кендэла</dc:description>
  <dc:subject>Коэффициент Кендэла</dc:subject>
  <cp:keywords>https://math.semestr.ru/corel/kendel.php</cp:keywords>
  <cp:category>Коэффициент Кендэла</cp:category>
</cp:coreProperties>
</file>