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b/>
        </w:rPr>
        <w:t>Биматричная игра</w:t>
      </w:r>
      <w:r>
        <w:t xml:space="preserve">.</w:t>
      </w:r>
    </w:p>
    <w:p>
      <w:pPr>
        <w:pStyle w:val="pStyle"/>
      </w:pPr>
    </w:p>
    <w:p>
      <w:pPr>
        <w:pStyle w:val="pStyle"/>
      </w:pPr>
      <w:r>
        <w:t xml:space="preserve">Решение:</w:t>
      </w:r>
    </w:p>
    <w:p>
      <w:pPr>
        <w:pStyle w:val="pStyle"/>
      </w:pPr>
      <w:r>
        <w:t xml:space="preserve">В каждом столбце матрицы A найдем максимальный элемент. Эти элементы подчеркнуты в матрице A. Их положение соответствует приемлемым ситуациям 1-го игрока, когда второй игрок выбрал стратегию </w:t>
      </w:r>
      <w:r>
        <w:rPr>
          <w:i/>
          <w:iCs/>
        </w:rPr>
        <w:t>j</w:t>
      </w:r>
      <w:r>
        <w:t xml:space="preserve"> соответственно.</w:t>
      </w:r>
    </w:p>
    <w:p>
      <w:pPr>
        <w:pStyle w:val="pStyle"/>
      </w:pPr>
      <w:r>
        <w:t xml:space="preserve">Затем в каждой строке матрицы B выберем наибольший элемент. Эти элементы подчеркнуты в матрице B. Их положение будет определять приемлемые ситуации 2-го игрока, когда первый игрок выбрал стратегию </w:t>
      </w:r>
      <w:r>
        <w:rPr>
          <w:i/>
          <w:iCs/>
        </w:rPr>
        <w:t>i</w:t>
      </w:r>
      <w:r>
        <w:t xml:space="preserve"> соответственно.</w:t>
      </w:r>
    </w:p>
    <w:p>
      <w:pPr>
        <w:pStyle w:val="pStyle"/>
      </w:pPr>
      <w:r>
        <w:t xml:space="preserve">Платежная матрица игрока А:</w:t>
      </w:r>
    </w:p>
    <w:tbl>
      <w:tblPr>
        <w:tblStyle w:val="myOwnTableStyle"/>
        <w:jc w:val="center"/>
      </w:tblPr>
      <w:tr>
        <w:tc>
          <w:tcPr>
            <w:tcW w:w="400" w:type="dxa"/>
          </w:tcPr>
          <w:p>
            <w:r>
              <w:t xml:space="preserve">-5</w:t>
            </w:r>
          </w:p>
        </w:tc>
        <w:tc>
          <w:tcPr>
            <w:tcW w:w="400" w:type="dxa"/>
          </w:tcPr>
          <w:p>
            <w:r>
              <w:rPr>
                <w:b/>
              </w:rPr>
              <w:t>3</w:t>
            </w:r>
          </w:p>
        </w:tc>
      </w:tr>
      <w:tr>
        <w:tc>
          <w:tcPr>
            <w:tcW w:w="400" w:type="dxa"/>
          </w:tcPr>
          <w:p>
            <w:r>
              <w:rPr>
                <w:b/>
              </w:rPr>
              <w:t>-1</w:t>
            </w:r>
          </w:p>
        </w:tc>
        <w:tc>
          <w:tcPr>
            <w:tcW w:w="400" w:type="dxa"/>
          </w:tcPr>
          <w:p>
            <w:r>
              <w:t xml:space="preserve">0</w:t>
            </w:r>
          </w:p>
        </w:tc>
      </w:tr>
    </w:tbl>
    <w:p>
      <w:pPr>
        <w:pStyle w:val="pStyle"/>
      </w:pPr>
      <w:r>
        <w:t xml:space="preserve">Позиции максимумов в столбцах матрицы А: (2,1), (1,2)</w:t>
      </w:r>
    </w:p>
    <w:p>
      <w:pPr>
        <w:pStyle w:val="pStyle"/>
      </w:pPr>
      <w:r>
        <w:t xml:space="preserve">Платежная матрица игрока B:</w:t>
      </w:r>
    </w:p>
    <w:tbl>
      <w:tblPr>
        <w:tblStyle w:val="myOwnTableStyle"/>
        <w:jc w:val="center"/>
      </w:tblPr>
      <w:tr>
        <w:tc>
          <w:tcPr>
            <w:tcW w:w="400" w:type="dxa"/>
          </w:tcPr>
          <w:p>
            <w:r>
              <w:rPr>
                <w:b/>
              </w:rPr>
              <w:t>2</w:t>
            </w:r>
          </w:p>
        </w:tc>
        <w:tc>
          <w:tcPr>
            <w:tcW w:w="400" w:type="dxa"/>
          </w:tcPr>
          <w:p>
            <w:r>
              <w:t xml:space="preserve">-1</w:t>
            </w:r>
          </w:p>
        </w:tc>
      </w:tr>
      <w:tr>
        <w:tc>
          <w:tcPr>
            <w:tcW w:w="400" w:type="dxa"/>
          </w:tcPr>
          <w:p>
            <w:r>
              <w:t xml:space="preserve">-1</w:t>
            </w:r>
          </w:p>
        </w:tc>
        <w:tc>
          <w:tcPr>
            <w:tcW w:w="400" w:type="dxa"/>
          </w:tcPr>
          <w:p>
            <w:r>
              <w:rPr>
                <w:b/>
              </w:rPr>
              <w:t>0</w:t>
            </w:r>
          </w:p>
        </w:tc>
      </w:tr>
    </w:tbl>
    <w:p>
      <w:pPr>
        <w:pStyle w:val="pStyle"/>
      </w:pPr>
      <w:r>
        <w:t xml:space="preserve">Позиции максимумов в строках матрицы В: (1,1), (2,2)</w:t>
      </w:r>
    </w:p>
    <w:p>
      <w:pPr>
        <w:pStyle w:val="pStyle"/>
      </w:pPr>
    </w:p>
    <w:p>
      <w:pPr>
        <w:pStyle w:val="pStyle"/>
      </w:pPr>
      <w:r>
        <w:t xml:space="preserve">Если биматричная игра не имеет равновесных ситуаций в чистых стратегиях, то она неразрешима в чистых стратегиях. И тогда можно искать решение в смешанных стратегиях.</w:t>
      </w:r>
    </w:p>
    <w:p>
      <w:pPr>
        <w:pStyle w:val="pStyle"/>
      </w:pPr>
      <w:r>
        <w:t xml:space="preserve">Итак, чтобы в биматричной игре:</w:t>
      </w:r>
    </w:p>
    <w:p>
      <w:pPr>
        <w:pStyle w:val="pStyle"/>
      </w:pPr>
      <w:r>
        <w:t xml:space="preserve">А=(a), В = (b) пара (p,q);</w:t>
      </w:r>
    </w:p>
    <w:p>
      <w:pPr>
        <w:pStyle w:val="pStyle"/>
      </w:pPr>
      <w:r>
        <w:t xml:space="preserve">определяемая равновесную ситуацию, необходимо и достаточно одновременное выполнение следующих неравенств:</w:t>
      </w:r>
    </w:p>
    <w:p>
      <w:pPr>
        <w:pStyle w:val="pStyle"/>
      </w:pPr>
      <w:r>
        <w:t xml:space="preserve">(p–1)(Cq-α) ≥ 0, p(Cq-α) ≥ 0; 0 ≤ p ≤ 1</w:t>
      </w:r>
    </w:p>
    <w:p>
      <w:pPr>
        <w:pStyle w:val="pStyle"/>
      </w:pPr>
      <w:r>
        <w:t xml:space="preserve">(q-1)(Dp-β) ≥ 0, q(Dp-β) ≥ 0; 0 ≤ q ≤ 1</w:t>
      </w:r>
    </w:p>
    <w:p>
      <w:pPr>
        <w:pStyle w:val="pStyle"/>
      </w:pPr>
      <w:r>
        <w:t xml:space="preserve">где</w:t>
      </w:r>
    </w:p>
    <w:p>
      <w:pPr>
        <w:pStyle w:val="pStyle"/>
      </w:pPr>
      <w:r>
        <w:t xml:space="preserve">C = a</w:t>
      </w:r>
      <w:r>
        <w:rPr>
          <w:vertAlign w:val="subscript"/>
        </w:rPr>
        <w:t>11</w:t>
      </w:r>
      <w:r>
        <w:t xml:space="preserve"> - a</w:t>
      </w:r>
      <w:r>
        <w:rPr>
          <w:vertAlign w:val="subscript"/>
        </w:rPr>
        <w:t>12</w:t>
      </w:r>
      <w:r>
        <w:t xml:space="preserve"> - a</w:t>
      </w:r>
      <w:r>
        <w:rPr>
          <w:vertAlign w:val="subscript"/>
        </w:rPr>
        <w:t>21</w:t>
      </w:r>
      <w:r>
        <w:t xml:space="preserve"> + a</w:t>
      </w:r>
      <w:r>
        <w:rPr>
          <w:vertAlign w:val="subscript"/>
        </w:rPr>
        <w:t>22</w:t>
      </w:r>
    </w:p>
    <w:p>
      <w:pPr>
        <w:pStyle w:val="pStyle"/>
      </w:pPr>
      <w:r>
        <w:t xml:space="preserve">α = a</w:t>
      </w:r>
      <w:r>
        <w:rPr>
          <w:vertAlign w:val="subscript"/>
        </w:rPr>
        <w:t>22</w:t>
      </w:r>
      <w:r>
        <w:t xml:space="preserve">- a</w:t>
      </w:r>
      <w:r>
        <w:rPr>
          <w:vertAlign w:val="subscript"/>
        </w:rPr>
        <w:t>12</w:t>
      </w:r>
    </w:p>
    <w:p>
      <w:pPr>
        <w:pStyle w:val="pStyle"/>
      </w:pPr>
      <w:r>
        <w:t xml:space="preserve">D = b</w:t>
      </w:r>
      <w:r>
        <w:rPr>
          <w:vertAlign w:val="subscript"/>
        </w:rPr>
        <w:t>11</w:t>
      </w:r>
      <w:r>
        <w:t xml:space="preserve">-b</w:t>
      </w:r>
      <w:r>
        <w:rPr>
          <w:vertAlign w:val="subscript"/>
        </w:rPr>
        <w:t>12</w:t>
      </w:r>
      <w:r>
        <w:t xml:space="preserve">-b</w:t>
      </w:r>
      <w:r>
        <w:rPr>
          <w:vertAlign w:val="subscript"/>
        </w:rPr>
        <w:t>21</w:t>
      </w:r>
      <w:r>
        <w:t xml:space="preserve">+b</w:t>
      </w:r>
      <w:r>
        <w:rPr>
          <w:vertAlign w:val="subscript"/>
        </w:rPr>
        <w:t>22</w:t>
      </w:r>
    </w:p>
    <w:p>
      <w:pPr>
        <w:pStyle w:val="pStyle"/>
      </w:pPr>
      <w:r>
        <w:t xml:space="preserve">β = b</w:t>
      </w:r>
      <w:r>
        <w:rPr>
          <w:vertAlign w:val="subscript"/>
        </w:rPr>
        <w:t>22</w:t>
      </w:r>
      <w:r>
        <w:t xml:space="preserve">-b</w:t>
      </w:r>
      <w:r>
        <w:rPr>
          <w:vertAlign w:val="subscript"/>
        </w:rPr>
        <w:t>21</w:t>
      </w:r>
    </w:p>
    <w:p>
      <w:pPr>
        <w:pStyle w:val="pStyle"/>
      </w:pPr>
      <w:r>
        <w:t xml:space="preserve">Проводя необходимые вычисления:</w:t>
      </w:r>
    </w:p>
    <w:p>
      <w:pPr>
        <w:pStyle w:val="pStyle"/>
      </w:pPr>
      <w:r>
        <w:t xml:space="preserve">C = -5 - 3 - (-1) + 0 = -7</w:t>
      </w:r>
    </w:p>
    <w:p>
      <w:pPr>
        <w:pStyle w:val="pStyle"/>
      </w:pPr>
      <w:r>
        <w:t xml:space="preserve">α = 0 - 3 = -3</w:t>
      </w:r>
    </w:p>
    <w:p>
      <w:pPr>
        <w:pStyle w:val="pStyle"/>
      </w:pPr>
      <w:r>
        <w:t xml:space="preserve">D = 2 - (-1) - (-1) + 0 = 4</w:t>
      </w:r>
    </w:p>
    <w:p>
      <w:pPr>
        <w:pStyle w:val="pStyle"/>
      </w:pPr>
      <w:r>
        <w:t xml:space="preserve">β = 0 - (-1) = 1</w:t>
      </w:r>
    </w:p>
    <w:p>
      <w:pPr>
        <w:pStyle w:val="pStyle"/>
      </w:pPr>
      <w:r>
        <w:t xml:space="preserve">и рассуждения</w:t>
      </w:r>
    </w:p>
    <w:p>
      <w:pPr>
        <w:pStyle w:val="pStyle"/>
      </w:pPr>
      <w:r>
        <w:t xml:space="preserve">(p–1)(-7q+3) ≥ 0</w:t>
      </w:r>
    </w:p>
    <w:p>
      <w:pPr>
        <w:pStyle w:val="pStyle"/>
      </w:pPr>
      <w:r>
        <w:t xml:space="preserve">p(-7q+3) ≥ 0</w:t>
      </w:r>
    </w:p>
    <w:p>
      <w:pPr>
        <w:pStyle w:val="pStyle"/>
      </w:pPr>
      <w:r>
        <w:t xml:space="preserve">(q-1)(4p-1) ≥ 0</w:t>
      </w:r>
    </w:p>
    <w:p>
      <w:pPr>
        <w:pStyle w:val="pStyle"/>
      </w:pPr>
      <w:r>
        <w:t xml:space="preserve">q(4p-1) ≥ 0</w:t>
      </w:r>
    </w:p>
    <w:p>
      <w:pPr>
        <w:pStyle w:val="pStyle"/>
      </w:pPr>
      <w:r>
        <w:t xml:space="preserve">получаем, что:</w:t>
      </w:r>
    </w:p>
    <w:p>
      <w:pPr>
        <w:pStyle w:val="pStyle"/>
      </w:pPr>
      <w:r>
        <w:t xml:space="preserve">1) p=1,q ≤ 3/7</w:t>
      </w:r>
    </w:p>
    <w:p>
      <w:pPr>
        <w:pStyle w:val="pStyle"/>
      </w:pPr>
      <w:r>
        <w:t xml:space="preserve">p=0, q ≥ 3/7</w:t>
      </w:r>
    </w:p>
    <w:p>
      <w:pPr>
        <w:pStyle w:val="pStyle"/>
      </w:pPr>
      <w:r>
        <w:t xml:space="preserve">0 ≤ p ≤ 1, q=3/7</w:t>
      </w:r>
    </w:p>
    <w:p>
      <w:pPr>
        <w:pStyle w:val="pStyle"/>
      </w:pPr>
      <w:r>
        <w:t xml:space="preserve">2) q=1,p ≥ 1/4</w:t>
      </w:r>
    </w:p>
    <w:p>
      <w:pPr>
        <w:pStyle w:val="pStyle"/>
      </w:pPr>
      <w:r>
        <w:t xml:space="preserve">q=0, p ≤ 1/4</w:t>
      </w:r>
    </w:p>
    <w:p>
      <w:pPr>
        <w:pStyle w:val="pStyle"/>
      </w:pPr>
      <w:r>
        <w:t xml:space="preserve">0 ≤ q ≤ 1, p=1/4</w:t>
      </w:r>
    </w:p>
    <w:p>
      <w:pPr>
        <w:pStyle w:val="pStyle"/>
      </w:pPr>
      <w:r>
        <w:t xml:space="preserve">Рассматриваемая игра имеет единственную ситуацию равновесия (P∙,Q∙), где оптимальными стратегиями по Нэшу являются:</w:t>
      </w:r>
    </w:p>
    <w:p>
      <w:pPr>
        <w:pStyle w:val="pStyle"/>
      </w:pPr>
      <w:r>
        <w:t xml:space="preserve">P∙ = (1/4;3/4); Q∙ = (3/7;4/7).</w:t>
      </w:r>
    </w:p>
    <w:p>
      <w:pPr>
        <w:pStyle w:val="pStyle"/>
      </w:pPr>
      <w:r>
        <w:t xml:space="preserve">Она может быть реализована при многократном повторении игры (то есть при многократном воспроизведении описанной ситуации) следующим образом:</w:t>
      </w:r>
    </w:p>
    <w:p>
      <w:pPr>
        <w:pStyle w:val="pStyle"/>
      </w:pPr>
      <w:r>
        <w:t xml:space="preserve">игрок I должен использовать чистые стратегии 1 и 2 с частотами 1/4 и 3/4, а игрок II – чистые стратегии 1 и 2 с частотами 3/7 и 4/7. Любой из игроков, отклонившись от указанной смешанной стратегии, уменьшает свой ожидаемый выигрыш.</w:t>
      </w:r>
    </w:p>
    <w:p>
      <w:pPr>
        <w:pStyle w:val="pStyle"/>
      </w:pPr>
      <w:r>
        <w:t xml:space="preserve">Цена игры</w:t>
      </w:r>
    </w:p>
    <w:p>
      <m:oMathPara>
        <m:oMath>
          <m:r>
            <m:t>H</m:t>
          </m:r>
        </m:oMath>
      </m:oMathPara>
      <m:oMathPara>
        <m:oMath>
          <m:r>
            <m:t>=</m:t>
          </m:r>
        </m:oMath>
      </m:oMathPara>
      <m:oMathPara>
        <m:oMath>
          <m:f>
            <m:num>
              <m:sSub>
                <m:e>
                  <m:r>
                    <m:t>a</m:t>
                  </m:r>
                </m:e>
                <m:sub>
                  <m:r>
                    <m:t>00</m:t>
                  </m:r>
                </m:sub>
              </m:sSub>
            </m:num>
            <m:den>
              <m:r>
                <m:t>p∙q</m:t>
              </m:r>
            </m:den>
          </m:f>
          <m:r>
            <m:t>+</m:t>
          </m:r>
          <m:f>
            <m:num>
              <m:sSub>
                <m:e>
                  <m:r>
                    <m:t>a</m:t>
                  </m:r>
                </m:e>
                <m:sub>
                  <m:r>
                    <m:t>01</m:t>
                  </m:r>
                </m:sub>
              </m:sSub>
            </m:num>
            <m:den>
              <m:r>
                <m:t>p∙(1-q)</m:t>
              </m:r>
            </m:den>
          </m:f>
          <m:r>
            <m:t>+</m:t>
          </m:r>
          <m:f>
            <m:num>
              <m:sSub>
                <m:e>
                  <m:r>
                    <m:t>a</m:t>
                  </m:r>
                </m:e>
                <m:sub>
                  <m:r>
                    <m:t>10</m:t>
                  </m:r>
                </m:sub>
              </m:sSub>
            </m:num>
            <m:den>
              <m:r>
                <m:t>(1-p)∙q</m:t>
              </m:r>
            </m:den>
          </m:f>
          <m:r>
            <m:t>+</m:t>
          </m:r>
          <m:f>
            <m:num>
              <m:sSub>
                <m:e>
                  <m:r>
                    <m:t>a</m:t>
                  </m:r>
                </m:e>
                <m:sub>
                  <m:r>
                    <m:t>11</m:t>
                  </m:r>
                </m:sub>
              </m:sSub>
            </m:num>
            <m:den>
              <m:r>
                <m:t>(1-p)∙(1-q)</m:t>
              </m:r>
            </m:den>
          </m:f>
        </m:oMath>
      </m:oMathPara>
    </w:p>
    <w:p>
      <m:oMathPara>
        <m:oMath>
          <m:sSub>
            <m:e>
              <m:r>
                <m:t>H</m:t>
              </m:r>
            </m:e>
            <m:sub>
              <m:r>
                <m:t>1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-5</m:t>
              </m:r>
            </m:num>
            <m:den>
              <m:r>
                <m:t>1/4∙3/7</m:t>
              </m:r>
            </m:den>
          </m:f>
          <m:r>
            <m:t>+</m:t>
          </m:r>
          <m:f>
            <m:num>
              <m:r>
                <m:t>3</m:t>
              </m:r>
            </m:num>
            <m:den>
              <m:r>
                <m:t>1/4∙(1-3/7)</m:t>
              </m:r>
            </m:den>
          </m:f>
          <m:r>
            <m:t>+</m:t>
          </m:r>
          <m:f>
            <m:num>
              <m:r>
                <m:t>-1</m:t>
              </m:r>
            </m:num>
            <m:den>
              <m:r>
                <m:t>(1-1/4)∙3/7</m:t>
              </m:r>
            </m:den>
          </m:f>
          <m:r>
            <m:t>+</m:t>
          </m:r>
          <m:f>
            <m:num>
              <m:r>
                <m:t>0</m:t>
              </m:r>
            </m:num>
            <m:den>
              <m:r>
                <m:t>(1-1/4)∙(1-3/7)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-3/7</m:t>
          </m:r>
        </m:oMath>
      </m:oMathPara>
    </w:p>
    <w:p>
      <m:oMathPara>
        <m:oMath>
          <m:sSub>
            <m:e>
              <m:r>
                <m:t>H</m:t>
              </m:r>
            </m:e>
            <m:sub>
              <m:r>
                <m:t>2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2</m:t>
              </m:r>
            </m:num>
            <m:den>
              <m:r>
                <m:t>1/4∙3/7</m:t>
              </m:r>
            </m:den>
          </m:f>
          <m:r>
            <m:t>+</m:t>
          </m:r>
          <m:f>
            <m:num>
              <m:r>
                <m:t>-1</m:t>
              </m:r>
            </m:num>
            <m:den>
              <m:r>
                <m:t>1/4∙(1-3/7)</m:t>
              </m:r>
            </m:den>
          </m:f>
          <m:r>
            <m:t>+</m:t>
          </m:r>
          <m:f>
            <m:num>
              <m:r>
                <m:t>-1</m:t>
              </m:r>
            </m:num>
            <m:den>
              <m:r>
                <m:t>(1-1/4)∙3/7</m:t>
              </m:r>
            </m:den>
          </m:f>
          <m:r>
            <m:t>+</m:t>
          </m:r>
          <m:f>
            <m:num>
              <m:r>
                <m:t>0</m:t>
              </m:r>
            </m:num>
            <m:den>
              <m:r>
                <m:t>(1-1/4)∙(1-3/7)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-1/4</m:t>
          </m:r>
        </m:oMath>
      </m:oMathPara>
    </w:p>
    <w:p>
      <w:pPr>
        <w:pStyle w:val="pStyle"/>
      </w:pPr>
      <w:r>
        <w:t xml:space="preserve">Цена игры для первого игрока:</w:t>
      </w:r>
    </w:p>
    <w:p>
      <w:pPr>
        <w:pStyle w:val="pStyle"/>
      </w:pPr>
      <w:r>
        <w:t xml:space="preserve">H</w:t>
      </w:r>
      <w:r>
        <w:rPr>
          <w:vertAlign w:val="subscript"/>
        </w:rPr>
        <w:t>a</w:t>
      </w:r>
      <w:r>
        <w:t xml:space="preserve">(1/4;3/7) = -3/7</w:t>
      </w:r>
    </w:p>
    <w:p>
      <w:pPr>
        <w:pStyle w:val="pStyle"/>
      </w:pPr>
      <w:r>
        <w:t xml:space="preserve">Цена игры для второго игрока:</w:t>
      </w:r>
    </w:p>
    <w:p>
      <w:pPr>
        <w:pStyle w:val="pStyle"/>
      </w:pPr>
      <w:r>
        <w:t xml:space="preserve">H</w:t>
      </w:r>
      <w:r>
        <w:rPr>
          <w:vertAlign w:val="subscript"/>
        </w:rPr>
        <w:t>b</w:t>
      </w:r>
      <w:r>
        <w:t xml:space="preserve">(1/4;3/7) = -1/4</w:t>
      </w:r>
    </w:p>
    <w:p>
      <w:pPr>
        <w:pStyle w:val="pStyle"/>
      </w:pPr>
      <w:r>
        <w:t xml:space="preserve">Ответ:</w:t>
      </w:r>
    </w:p>
    <w:p>
      <w:pPr>
        <w:pStyle w:val="pStyle"/>
      </w:pPr>
      <w:r>
        <w:t xml:space="preserve">Смешанная стратегия для первого игрока P∙ = (1/4;3/4); Смешанная стратегия для второго игрока Q∙ = (3/7;4/7).</w:t>
      </w:r>
    </w:p>
    <w:p>
      <w:pPr>
        <w:pStyle w:val="pStyle"/>
      </w:pPr>
      <w:r>
        <w:t xml:space="preserve">Выигрыш игроков в равновесной ситуации:</w:t>
      </w:r>
    </w:p>
    <w:p>
      <w:pPr>
        <w:pStyle w:val="pStyle"/>
      </w:pPr>
      <w:r>
        <w:t xml:space="preserve">f(P∙,Q∙) = (-3/7;-1/4).</w:t>
      </w:r>
    </w:p>
    <w:p>
      <w:r>
        <w:pict>
          <v:shape type="#_x0000_t75" style="width:375pt;height:375pt">
            <v:imagedata r:id="rId7" o:title=""/>
          </v:shape>
        </w:pict>
      </w:r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8" w:history="1">
        <w:r>
          <w:rPr>
            <w:color w:val="0000FF"/>
            <w:u w:val="single"/>
          </w:rPr>
          <w:t xml:space="preserve">Биматричная игра</w:t>
        </w:r>
      </w:hyperlink>
    </w:p>
    <w:p>
      <w:pPr>
        <w:pStyle w:val="pStyle"/>
      </w:pPr>
      <w:r>
        <w:t xml:space="preserve">Вместе с этой задачей решают также:</w:t>
      </w:r>
    </w:p>
    <w:p>
      <w:hyperlink r:id="rId9" w:history="1">
        <w:r>
          <w:rPr>
            <w:color w:val="0000FF"/>
            <w:u w:val="single"/>
          </w:rPr>
          <w:t xml:space="preserve">Решение матричной игры</w:t>
        </w:r>
      </w:hyperlink>
    </w:p>
    <w:p>
      <w:hyperlink r:id="rId10" w:history="1">
        <w:r>
          <w:rPr>
            <w:color w:val="0000FF"/>
            <w:u w:val="single"/>
          </w:rPr>
          <w:t xml:space="preserve">Линейное программирование онлайн</w:t>
        </w:r>
      </w:hyperlink>
    </w:p>
    <w:p>
      <w:hyperlink r:id="rId11" w:history="1">
        <w:r>
          <w:rPr>
            <w:color w:val="0000FF"/>
            <w:u w:val="single"/>
          </w:rPr>
          <w:t xml:space="preserve">Теория массового обслуживания (СМО)</w:t>
        </w:r>
      </w:hyperlink>
    </w:p>
    <w:p>
      <w:hyperlink r:id="rId12" w:history="1">
        <w:r>
          <w:rPr>
            <w:color w:val="0000FF"/>
            <w:u w:val="single"/>
          </w:rPr>
          <w:t xml:space="preserve">Теория игр</w:t>
        </w:r>
      </w:hyperlink>
    </w:p>
    <w:p>
      <w:hyperlink r:id="rId13" w:history="1">
        <w:r>
          <w:rPr>
            <w:color w:val="0000FF"/>
            <w:u w:val="single"/>
          </w:rPr>
          <w:t xml:space="preserve">Задачи динамического программирования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png"/>
  <Relationship Id="rId8" Type="http://schemas.openxmlformats.org/officeDocument/2006/relationships/hyperlink" Target="https://math.semestr.ru/games/bimatrix.php" TargetMode="External"/>
  <Relationship Id="rId9" Type="http://schemas.openxmlformats.org/officeDocument/2006/relationships/hyperlink" Target="https://math.semestr.ru/games/index.php" TargetMode="External"/>
  <Relationship Id="rId10" Type="http://schemas.openxmlformats.org/officeDocument/2006/relationships/hyperlink" Target="https://math.semestr.ru/simplex/simplex_manual.php" TargetMode="External"/>
  <Relationship Id="rId11" Type="http://schemas.openxmlformats.org/officeDocument/2006/relationships/hyperlink" Target="https://math.semestr.ru/cmo/cmo_manual.php" TargetMode="External"/>
  <Relationship Id="rId12" Type="http://schemas.openxmlformats.org/officeDocument/2006/relationships/hyperlink" Target="https://math.semestr.ru/games/games_manual.php" TargetMode="External"/>
  <Relationship Id="rId13" Type="http://schemas.openxmlformats.org/officeDocument/2006/relationships/hyperlink" Target="https://math.semestr.ru/dinam/dinam_manual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2024-04-06T16:03:00+03:00</dcterms:created>
  <dcterms:modified xsi:type="dcterms:W3CDTF">2024-04-06T16:03:00+03:00</dcterms:modified>
  <dc:title>Биматричная игра</dc:title>
  <dc:description>Теория игр</dc:description>
  <dc:subject>Биматричная игра</dc:subject>
  <cp:keywords>Теория игр,матричная игра,седловая точка</cp:keywords>
  <cp:category>Биматричная игра</cp:category>
</cp:coreProperties>
</file>