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1. Находим показатели вариации для первой выборки</w:t>
      </w:r>
      <w:r>
        <w:t xml:space="preserve">.</w:t>
      </w:r>
    </w:p>
    <w:p>
      <w:pPr>
        <w:pStyle w:val="pStyle"/>
      </w:pPr>
      <w:r>
        <w:t xml:space="preserve">Проранжируем ряд. Для этого сортируем его значения по возрастанию.</w:t>
      </w:r>
    </w:p>
    <w:p>
      <w:pPr>
        <w:pStyle w:val="pStyle"/>
      </w:pPr>
      <w:r>
        <w:t xml:space="preserve">Таблица для расчета показателей.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x</w:t>
            </w:r>
          </w:p>
        </w:tc>
        <w:tc>
          <w:tcPr>
            <w:tcW w:w="1800" w:type="dxa"/>
          </w:tcPr>
          <w:p>
            <m:oMathPara>
              <m:oMath>
                <m:r>
                  <m:t>|x-</m:t>
                </m:r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  <m:r>
                  <m:t>|</m:t>
                </m:r>
              </m:oMath>
            </m:oMathPara>
          </w:p>
        </w:tc>
        <w:tc>
          <w:tcPr>
            <w:tcW w:w="1800" w:type="dxa"/>
          </w:tcPr>
          <w:p>
            <m:oMathPara>
              <m:oMath>
                <m:sSup>
                  <m:e>
                    <m:d>
                      <m:e>
                        <m:r>
                          <m:t>x-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x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1800" w:type="dxa"/>
          </w:tcPr>
          <w:p>
            <w:r>
              <w:t xml:space="preserve">697</w:t>
            </w:r>
          </w:p>
        </w:tc>
        <w:tc>
          <w:tcPr>
            <w:tcW w:w="1800" w:type="dxa"/>
          </w:tcPr>
          <w:p>
            <w:r>
              <w:t xml:space="preserve">135</w:t>
            </w:r>
          </w:p>
        </w:tc>
        <w:tc>
          <w:tcPr>
            <w:tcW w:w="1800" w:type="dxa"/>
          </w:tcPr>
          <w:p>
            <w:r>
              <w:t xml:space="preserve">18225</w:t>
            </w:r>
          </w:p>
        </w:tc>
      </w:tr>
      <w:tr>
        <w:tc>
          <w:tcPr>
            <w:tcW w:w="1800" w:type="dxa"/>
          </w:tcPr>
          <w:p>
            <w:r>
              <w:t xml:space="preserve">789</w:t>
            </w:r>
          </w:p>
        </w:tc>
        <w:tc>
          <w:tcPr>
            <w:tcW w:w="1800" w:type="dxa"/>
          </w:tcPr>
          <w:p>
            <w:r>
              <w:t xml:space="preserve">43</w:t>
            </w:r>
          </w:p>
        </w:tc>
        <w:tc>
          <w:tcPr>
            <w:tcW w:w="1800" w:type="dxa"/>
          </w:tcPr>
          <w:p>
            <w:r>
              <w:t xml:space="preserve">1849</w:t>
            </w:r>
          </w:p>
        </w:tc>
      </w:tr>
      <w:tr>
        <w:tc>
          <w:tcPr>
            <w:tcW w:w="1800" w:type="dxa"/>
          </w:tcPr>
          <w:p>
            <w:r>
              <w:t xml:space="preserve">824</w:t>
            </w:r>
          </w:p>
        </w:tc>
        <w:tc>
          <w:tcPr>
            <w:tcW w:w="1800" w:type="dxa"/>
          </w:tcPr>
          <w:p>
            <w:r>
              <w:t xml:space="preserve">8</w:t>
            </w:r>
          </w:p>
        </w:tc>
        <w:tc>
          <w:tcPr>
            <w:tcW w:w="1800" w:type="dxa"/>
          </w:tcPr>
          <w:p>
            <w:r>
              <w:t xml:space="preserve">64</w:t>
            </w:r>
          </w:p>
        </w:tc>
      </w:tr>
      <w:tr>
        <w:tc>
          <w:tcPr>
            <w:tcW w:w="1800" w:type="dxa"/>
          </w:tcPr>
          <w:p>
            <w:r>
              <w:t xml:space="preserve">920</w:t>
            </w:r>
          </w:p>
        </w:tc>
        <w:tc>
          <w:tcPr>
            <w:tcW w:w="1800" w:type="dxa"/>
          </w:tcPr>
          <w:p>
            <w:r>
              <w:t xml:space="preserve">88</w:t>
            </w:r>
          </w:p>
        </w:tc>
        <w:tc>
          <w:tcPr>
            <w:tcW w:w="1800" w:type="dxa"/>
          </w:tcPr>
          <w:p>
            <w:r>
              <w:t xml:space="preserve">7744</w:t>
            </w:r>
          </w:p>
        </w:tc>
      </w:tr>
      <w:tr>
        <w:tc>
          <w:tcPr>
            <w:tcW w:w="1800" w:type="dxa"/>
          </w:tcPr>
          <w:p>
            <w:r>
              <w:t xml:space="preserve">930</w:t>
            </w:r>
          </w:p>
        </w:tc>
        <w:tc>
          <w:tcPr>
            <w:tcW w:w="1800" w:type="dxa"/>
          </w:tcPr>
          <w:p>
            <w:r>
              <w:t xml:space="preserve">98</w:t>
            </w:r>
          </w:p>
        </w:tc>
        <w:tc>
          <w:tcPr>
            <w:tcW w:w="1800" w:type="dxa"/>
          </w:tcPr>
          <w:p>
            <w:r>
              <w:t xml:space="preserve">9604</w:t>
            </w:r>
          </w:p>
        </w:tc>
      </w:tr>
      <w:tr>
        <w:tc>
          <w:tcPr>
            <w:tcW w:w="1800" w:type="dxa"/>
            <w:shd w:val="clear" w:color="auto" w:fill="FFA0A0"/>
          </w:tcPr>
          <w:p>
            <w:r>
              <w:t xml:space="preserve">4160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372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37486</w:t>
            </w:r>
          </w:p>
        </w:tc>
      </w:tr>
    </w:tbl>
    <w:p>
      <w:pPr>
        <w:pStyle w:val="pStyle"/>
      </w:pPr>
      <w:r>
        <w:t xml:space="preserve">Для оценки ряда распределения найдем следующие показатели:</w:t>
      </w:r>
    </w:p>
    <w:p>
      <w:pPr>
        <w:pStyle w:val="pStyle"/>
      </w:pPr>
      <w:r>
        <w:rPr>
          <w:b/>
        </w:rPr>
        <w:t>Показатели центра распределения</w:t>
      </w:r>
      <w:r>
        <w:t xml:space="preserve">.</w:t>
      </w:r>
    </w:p>
    <w:p>
      <w:pPr>
        <w:pStyle w:val="pStyle"/>
      </w:pPr>
      <w:r>
        <w:rPr>
          <w:i/>
          <w:iCs/>
        </w:rPr>
        <w:t>Простая средняя арифметическая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</m:t>
          </m:r>
          <m:f>
            <m:num>
              <m:r>
                <m:t>4160</m:t>
              </m:r>
            </m:num>
            <m:den>
              <m:r>
                <m:t>5</m:t>
              </m:r>
            </m:den>
          </m:f>
          <m:r>
            <m:t> = 832</m:t>
          </m:r>
        </m:oMath>
      </m:oMathPara>
    </w:p>
    <w:p>
      <w:pPr>
        <w:pStyle w:val="pStyle"/>
      </w:pPr>
      <w:r>
        <w:rPr>
          <w:b/>
        </w:rPr>
        <w:t>Показатели вариации</w:t>
      </w:r>
      <w:r>
        <w:t xml:space="preserve">.</w:t>
      </w:r>
    </w:p>
    <w:p>
      <w:pPr>
        <w:pStyle w:val="pStyle"/>
      </w:pPr>
      <w:r>
        <w:rPr>
          <w:i/>
          <w:iCs/>
        </w:rPr>
        <w:t>Абсолютные показатели вариации</w:t>
      </w:r>
      <w:r>
        <w:t xml:space="preserve">.</w:t>
      </w:r>
    </w:p>
    <w:p>
      <w:pPr>
        <w:pStyle w:val="pStyle"/>
      </w:pPr>
      <w:r>
        <w:t xml:space="preserve">Размах вариации - разность между максимальным и минимальным значениями признака первичного ряда.</w:t>
      </w:r>
    </w:p>
    <w:p>
      <w:pPr>
        <w:pStyle w:val="pStyle"/>
      </w:pPr>
      <w:r>
        <w:t xml:space="preserve">R = x</w:t>
      </w:r>
      <w:r>
        <w:rPr>
          <w:vertAlign w:val="subscript"/>
        </w:rPr>
        <w:t>max</w:t>
      </w:r>
      <w:r>
        <w:t xml:space="preserve"> - x</w:t>
      </w:r>
      <w:r>
        <w:rPr>
          <w:vertAlign w:val="subscript"/>
        </w:rPr>
        <w:t>min</w:t>
      </w:r>
      <w:r>
        <w:t xml:space="preserve"> = 930 - 697 = 233</w:t>
      </w:r>
    </w:p>
    <w:p>
      <w:pPr>
        <w:pStyle w:val="pStyle"/>
      </w:pPr>
      <w:r>
        <w:rPr>
          <w:i/>
          <w:iCs/>
        </w:rPr>
        <w:t>Дисперсия</w:t>
      </w:r>
      <w:r>
        <w:t xml:space="preserve"> - характеризует меру разброса около ее среднего значения (мера рассеивания, т.е. отклонения от среднего).</w:t>
      </w:r>
    </w:p>
    <w:p>
      <w:r>
        <w:t xml:space="preserve">
          <m:r>
            <m:t>D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x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37486</m:t>
              </m:r>
            </m:num>
            <m:den>
              <m:r>
                <m:t>5</m:t>
              </m:r>
            </m:den>
          </m:f>
        </m:oMath>
      </m:oMathPara>
      <w:r>
        <w:t xml:space="preserve">
          <m:r>
            <m:t> = 7497.2</m:t>
          </m:r>
        </w:t>
      </w:r>
    </w:p>
    <w:p>
      <w:pPr>
        <w:pStyle w:val="pStyle"/>
      </w:pPr>
      <w:r>
        <w:rPr>
          <w:i/>
          <w:iCs/>
        </w:rPr>
        <w:t>Несмещенная оценка дисперсии</w:t>
      </w:r>
      <w:r>
        <w:t xml:space="preserve"> - состоятельная оценка дисперсии (исправленная дисперсия).</w:t>
      </w:r>
    </w:p>
    <w:p>
      <m:oMathPara>
        <m:oMath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x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n-1</m:t>
              </m:r>
            </m:den>
          </m:f>
        </m:oMath>
      </m:oMathPara>
      <w:r>
        <w:t xml:space="preserve">
          <m:r>
            <m:t>  = </m:t>
          </m:r>
        </w:t>
      </w:r>
      <m:oMathPara>
        <m:oMath>
          <m:f>
            <m:num>
              <m:r>
                <m:t>37486</m:t>
              </m:r>
            </m:num>
            <m:den>
              <m:r>
                <m:t>4</m:t>
              </m:r>
            </m:den>
          </m:f>
        </m:oMath>
      </m:oMathPara>
      <w:r>
        <w:t xml:space="preserve">
          <m:r>
            <m:t> = 9371.5</m:t>
          </m:r>
        </w:t>
      </w:r>
    </w:p>
    <w:p>
      <w:pPr>
        <w:pStyle w:val="pStyle"/>
      </w:pPr>
      <w:r>
        <w:rPr>
          <w:i/>
          <w:iCs/>
        </w:rPr>
        <w:t>Среднее квадратическое отклонение</w:t>
      </w:r>
      <w:r>
        <w:t xml:space="preserve">.</w:t>
      </w:r>
    </w:p>
    <w:p>
      <m:oMathPara>
        <m:oMath>
          <m:r>
            <m:t>σ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7497.2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86.586</m:t>
          </m:r>
        </m:oMath>
      </m:oMathPara>
    </w:p>
    <w:p>
      <w:pPr>
        <w:pStyle w:val="pStyle"/>
      </w:pPr>
      <w:r>
        <w:t xml:space="preserve">Каждое значение ряда отличается от среднего значения 832 в среднем на 86.586</w:t>
      </w:r>
    </w:p>
    <w:p>
      <w:pPr>
        <w:pStyle w:val="pStyle"/>
      </w:pPr>
      <w:r>
        <w:rPr>
          <w:i/>
          <w:iCs/>
        </w:rPr>
        <w:t>Оценка среднеквадратического отклонения</w:t>
      </w:r>
      <w:r>
        <w:t xml:space="preserve">.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9371.5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96.807</m:t>
          </m:r>
        </m:oMath>
      </m:oMathPara>
    </w:p>
    <w:p>
      <w:pPr>
        <w:pStyle w:val="pStyle"/>
      </w:pPr>
      <w:r>
        <w:rPr>
          <w:b/>
        </w:rPr>
        <w:t>Выводы</w:t>
      </w:r>
      <w:r>
        <w:t xml:space="preserve">:</w:t>
      </w:r>
    </w:p>
    <w:p>
      <w:pPr>
        <w:pStyle w:val="pStyle"/>
      </w:pPr>
      <w:r>
        <w:t xml:space="preserve">Каждое значение ряда отличается от среднего значения 832 в среднем на 86.586.</w:t>
      </w:r>
    </w:p>
    <w:p>
      <w:pPr>
        <w:pStyle w:val="pStyle"/>
      </w:pPr>
      <w:r>
        <w:rPr>
          <w:b/>
        </w:rPr>
        <w:t>2. Находим показатели вариации для второй выборки</w:t>
      </w:r>
      <w:r>
        <w:t xml:space="preserve">.</w:t>
      </w:r>
    </w:p>
    <w:p>
      <w:pPr>
        <w:pStyle w:val="pStyle"/>
      </w:pPr>
      <w:r>
        <w:t xml:space="preserve">Проранжируем ряд. Для этого сортируем его значения по возрастанию.</w:t>
      </w:r>
    </w:p>
    <w:p>
      <w:pPr>
        <w:pStyle w:val="pStyle"/>
      </w:pPr>
      <w:r>
        <w:t xml:space="preserve">Таблица для расчета показателей.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y</w:t>
            </w:r>
          </w:p>
        </w:tc>
        <w:tc>
          <w:tcPr>
            <w:tcW w:w="1800" w:type="dxa"/>
          </w:tcPr>
          <w:p>
            <m:oMathPara>
              <m:oMath>
                <m:r>
                  <m:t>|y-</m:t>
                </m:r>
                <m:bar>
                  <m:barPr>
                    <m:pos m:val="top"/>
                  </m:barPr>
                  <m:e>
                    <m:r>
                      <m:t>y</m:t>
                    </m:r>
                  </m:e>
                </m:bar>
                <m:r>
                  <m:t>|</m:t>
                </m:r>
              </m:oMath>
            </m:oMathPara>
          </w:p>
        </w:tc>
        <w:tc>
          <w:tcPr>
            <w:tcW w:w="1800" w:type="dxa"/>
          </w:tcPr>
          <w:p>
            <m:oMathPara>
              <m:oMath>
                <m:sSup>
                  <m:e>
                    <m:d>
                      <m:e>
                        <m:r>
                          <m:t>y-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1800" w:type="dxa"/>
          </w:tcPr>
          <w:p>
            <w:r>
              <w:t xml:space="preserve">897</w:t>
            </w:r>
          </w:p>
        </w:tc>
        <w:tc>
          <w:tcPr>
            <w:tcW w:w="1800" w:type="dxa"/>
          </w:tcPr>
          <w:p>
            <w:r>
              <w:t xml:space="preserve">112.667</w:t>
            </w:r>
          </w:p>
        </w:tc>
        <w:tc>
          <w:tcPr>
            <w:tcW w:w="1800" w:type="dxa"/>
          </w:tcPr>
          <w:p>
            <w:r>
              <w:t xml:space="preserve">12693.778</w:t>
            </w:r>
          </w:p>
        </w:tc>
      </w:tr>
      <w:tr>
        <w:tc>
          <w:tcPr>
            <w:tcW w:w="1800" w:type="dxa"/>
          </w:tcPr>
          <w:p>
            <w:r>
              <w:t xml:space="preserve">930</w:t>
            </w:r>
          </w:p>
        </w:tc>
        <w:tc>
          <w:tcPr>
            <w:tcW w:w="1800" w:type="dxa"/>
          </w:tcPr>
          <w:p>
            <w:r>
              <w:t xml:space="preserve">79.667</w:t>
            </w:r>
          </w:p>
        </w:tc>
        <w:tc>
          <w:tcPr>
            <w:tcW w:w="1800" w:type="dxa"/>
          </w:tcPr>
          <w:p>
            <w:r>
              <w:t xml:space="preserve">6346.778</w:t>
            </w:r>
          </w:p>
        </w:tc>
      </w:tr>
      <w:tr>
        <w:tc>
          <w:tcPr>
            <w:tcW w:w="1800" w:type="dxa"/>
          </w:tcPr>
          <w:p>
            <w:r>
              <w:t xml:space="preserve">936</w:t>
            </w:r>
          </w:p>
        </w:tc>
        <w:tc>
          <w:tcPr>
            <w:tcW w:w="1800" w:type="dxa"/>
          </w:tcPr>
          <w:p>
            <w:r>
              <w:t xml:space="preserve">73.667</w:t>
            </w:r>
          </w:p>
        </w:tc>
        <w:tc>
          <w:tcPr>
            <w:tcW w:w="1800" w:type="dxa"/>
          </w:tcPr>
          <w:p>
            <w:r>
              <w:t xml:space="preserve">5426.778</w:t>
            </w:r>
          </w:p>
        </w:tc>
      </w:tr>
      <w:tr>
        <w:tc>
          <w:tcPr>
            <w:tcW w:w="1800" w:type="dxa"/>
          </w:tcPr>
          <w:p>
            <w:r>
              <w:t xml:space="preserve">970</w:t>
            </w:r>
          </w:p>
        </w:tc>
        <w:tc>
          <w:tcPr>
            <w:tcW w:w="1800" w:type="dxa"/>
          </w:tcPr>
          <w:p>
            <w:r>
              <w:t xml:space="preserve">39.667</w:t>
            </w:r>
          </w:p>
        </w:tc>
        <w:tc>
          <w:tcPr>
            <w:tcW w:w="1800" w:type="dxa"/>
          </w:tcPr>
          <w:p>
            <w:r>
              <w:t xml:space="preserve">1573.444</w:t>
            </w:r>
          </w:p>
        </w:tc>
      </w:tr>
      <w:tr>
        <w:tc>
          <w:tcPr>
            <w:tcW w:w="1800" w:type="dxa"/>
          </w:tcPr>
          <w:p>
            <w:r>
              <w:t xml:space="preserve">1010</w:t>
            </w:r>
          </w:p>
        </w:tc>
        <w:tc>
          <w:tcPr>
            <w:tcW w:w="1800" w:type="dxa"/>
          </w:tcPr>
          <w:p>
            <w:r>
              <w:t xml:space="preserve">0.333</w:t>
            </w:r>
          </w:p>
        </w:tc>
        <w:tc>
          <w:tcPr>
            <w:tcW w:w="1800" w:type="dxa"/>
          </w:tcPr>
          <w:p>
            <w:r>
              <w:t xml:space="preserve">0.111</w:t>
            </w:r>
          </w:p>
        </w:tc>
      </w:tr>
      <w:tr>
        <w:tc>
          <w:tcPr>
            <w:tcW w:w="1800" w:type="dxa"/>
          </w:tcPr>
          <w:p>
            <w:r>
              <w:t xml:space="preserve">1315</w:t>
            </w:r>
          </w:p>
        </w:tc>
        <w:tc>
          <w:tcPr>
            <w:tcW w:w="1800" w:type="dxa"/>
          </w:tcPr>
          <w:p>
            <w:r>
              <w:t xml:space="preserve">305.333</w:t>
            </w:r>
          </w:p>
        </w:tc>
        <w:tc>
          <w:tcPr>
            <w:tcW w:w="1800" w:type="dxa"/>
          </w:tcPr>
          <w:p>
            <w:r>
              <w:t xml:space="preserve">93228.444</w:t>
            </w:r>
          </w:p>
        </w:tc>
      </w:tr>
      <w:tr>
        <w:tc>
          <w:tcPr>
            <w:tcW w:w="1800" w:type="dxa"/>
            <w:shd w:val="clear" w:color="auto" w:fill="FFA0A0"/>
          </w:tcPr>
          <w:p>
            <w:r>
              <w:t xml:space="preserve">6058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611.333</w:t>
            </w:r>
          </w:p>
        </w:tc>
        <w:tc>
          <w:tcPr>
            <w:tcW w:w="1800" w:type="dxa"/>
            <w:shd w:val="clear" w:color="auto" w:fill="FFA0A0"/>
          </w:tcPr>
          <w:p>
            <w:r>
              <w:t xml:space="preserve">119269.333</w:t>
            </w:r>
          </w:p>
        </w:tc>
      </w:tr>
    </w:tbl>
    <w:p>
      <w:pPr>
        <w:pStyle w:val="pStyle"/>
      </w:pPr>
      <w:r>
        <w:t xml:space="preserve">Для оценки ряда распределения найдем следующие показатели:</w:t>
      </w:r>
    </w:p>
    <w:p>
      <w:pPr>
        <w:pStyle w:val="pStyle"/>
      </w:pPr>
      <w:r>
        <w:rPr>
          <w:b/>
        </w:rPr>
        <w:t>Показатели центра распределения</w:t>
      </w:r>
      <w:r>
        <w:t xml:space="preserve">.</w:t>
      </w:r>
    </w:p>
    <w:p>
      <w:pPr>
        <w:pStyle w:val="pStyle"/>
      </w:pPr>
      <w:r>
        <w:rPr>
          <w:i/>
          <w:iCs/>
        </w:rPr>
        <w:t>Простая средняя арифметическая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</m:t>
          </m:r>
          <m:f>
            <m:num>
              <m:r>
                <m:t>6058</m:t>
              </m:r>
            </m:num>
            <m:den>
              <m:r>
                <m:t>6</m:t>
              </m:r>
            </m:den>
          </m:f>
          <m:r>
            <m:t> = 1009.667</m:t>
          </m:r>
        </m:oMath>
      </m:oMathPara>
    </w:p>
    <w:p>
      <w:pPr>
        <w:pStyle w:val="pStyle"/>
      </w:pPr>
      <w:r>
        <w:rPr>
          <w:b/>
        </w:rPr>
        <w:t>Показатели вариации</w:t>
      </w:r>
      <w:r>
        <w:t xml:space="preserve">.</w:t>
      </w:r>
    </w:p>
    <w:p>
      <w:pPr>
        <w:pStyle w:val="pStyle"/>
      </w:pPr>
      <w:r>
        <w:rPr>
          <w:i/>
          <w:iCs/>
        </w:rPr>
        <w:t>Абсолютные показатели вариации</w:t>
      </w:r>
      <w:r>
        <w:t xml:space="preserve">.</w:t>
      </w:r>
    </w:p>
    <w:p>
      <w:pPr>
        <w:pStyle w:val="pStyle"/>
      </w:pPr>
      <w:r>
        <w:t xml:space="preserve">Размах вариации - разность между максимальным и минимальным значениями признака первичного ряда.</w:t>
      </w:r>
    </w:p>
    <w:p>
      <w:pPr>
        <w:pStyle w:val="pStyle"/>
      </w:pPr>
      <w:r>
        <w:t xml:space="preserve">R = y</w:t>
      </w:r>
      <w:r>
        <w:rPr>
          <w:vertAlign w:val="subscript"/>
        </w:rPr>
        <w:t>max</w:t>
      </w:r>
      <w:r>
        <w:t xml:space="preserve"> - y</w:t>
      </w:r>
      <w:r>
        <w:rPr>
          <w:vertAlign w:val="subscript"/>
        </w:rPr>
        <w:t>min</w:t>
      </w:r>
      <w:r>
        <w:t xml:space="preserve"> = 1315 - 897 = 418</w:t>
      </w:r>
    </w:p>
    <w:p>
      <w:pPr>
        <w:pStyle w:val="pStyle"/>
      </w:pPr>
      <w:r>
        <w:rPr>
          <w:i/>
          <w:iCs/>
        </w:rPr>
        <w:t>Дисперсия</w:t>
      </w:r>
      <w:r>
        <w:t xml:space="preserve"> - характеризует меру разброса около ее среднего значения (мера рассеивания, т.е. отклонения от среднего).</w:t>
      </w:r>
    </w:p>
    <w:p>
      <w:r>
        <w:t xml:space="preserve">
          <m:r>
            <m:t>D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119269.333</m:t>
              </m:r>
            </m:num>
            <m:den>
              <m:r>
                <m:t>6</m:t>
              </m:r>
            </m:den>
          </m:f>
        </m:oMath>
      </m:oMathPara>
      <w:r>
        <w:t xml:space="preserve">
          <m:r>
            <m:t> = 19878.222</m:t>
          </m:r>
        </w:t>
      </w:r>
    </w:p>
    <w:p>
      <w:pPr>
        <w:pStyle w:val="pStyle"/>
      </w:pPr>
      <w:r>
        <w:rPr>
          <w:i/>
          <w:iCs/>
        </w:rPr>
        <w:t>Несмещенная оценка дисперсии</w:t>
      </w:r>
      <w:r>
        <w:t xml:space="preserve"> - состоятельная оценка дисперсии (исправленная дисперсия).</w:t>
      </w:r>
    </w:p>
    <w:p>
      <m:oMathPara>
        <m:oMath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t> =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n-1</m:t>
              </m:r>
            </m:den>
          </m:f>
        </m:oMath>
      </m:oMathPara>
      <w:r>
        <w:t xml:space="preserve">
          <m:r>
            <m:t>  = </m:t>
          </m:r>
        </w:t>
      </w:r>
      <m:oMathPara>
        <m:oMath>
          <m:f>
            <m:num>
              <m:r>
                <m:t>119269.333</m:t>
              </m:r>
            </m:num>
            <m:den>
              <m:r>
                <m:t>5</m:t>
              </m:r>
            </m:den>
          </m:f>
        </m:oMath>
      </m:oMathPara>
      <w:r>
        <w:t xml:space="preserve">
          <m:r>
            <m:t> = 23853.867</m:t>
          </m:r>
        </w:t>
      </w:r>
    </w:p>
    <w:p>
      <w:pPr>
        <w:pStyle w:val="pStyle"/>
      </w:pPr>
      <w:r>
        <w:rPr>
          <w:i/>
          <w:iCs/>
        </w:rPr>
        <w:t>Среднее квадратическое отклонение</w:t>
      </w:r>
      <w:r>
        <w:t xml:space="preserve">.</w:t>
      </w:r>
    </w:p>
    <w:p>
      <m:oMathPara>
        <m:oMath>
          <m:r>
            <m:t>σ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19878.222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140.99</m:t>
          </m:r>
        </m:oMath>
      </m:oMathPara>
    </w:p>
    <w:p>
      <w:pPr>
        <w:pStyle w:val="pStyle"/>
      </w:pPr>
      <w:r>
        <w:t xml:space="preserve">Каждое значение ряда отличается от среднего значения 1009.667 в среднем на 140.99</w:t>
      </w:r>
    </w:p>
    <w:p>
      <w:pPr>
        <w:pStyle w:val="pStyle"/>
      </w:pPr>
      <w:r>
        <w:rPr>
          <w:i/>
          <w:iCs/>
        </w:rPr>
        <w:t>Оценка среднеквадратического отклонения</w:t>
      </w:r>
      <w:r>
        <w:t xml:space="preserve">.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23853.867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154.447</m:t>
          </m:r>
        </m:oMath>
      </m:oMathPara>
    </w:p>
    <w:p>
      <w:pPr>
        <w:pStyle w:val="pStyle"/>
      </w:pPr>
      <w:r>
        <w:rPr>
          <w:b/>
        </w:rPr>
        <w:t>Выводы</w:t>
      </w:r>
      <w:r>
        <w:t xml:space="preserve">:</w:t>
      </w:r>
    </w:p>
    <w:p>
      <w:pPr>
        <w:pStyle w:val="pStyle"/>
      </w:pPr>
      <w:r>
        <w:t xml:space="preserve">Каждое значение ряда отличается от среднего значения 1009.667 в среднем на 140.99.</w:t>
      </w:r>
    </w:p>
    <w:p>
      <w:pPr>
        <w:pStyle w:val="pStyle"/>
      </w:pPr>
      <w:r>
        <w:t xml:space="preserve">Проводим проверку гипотезы о равенстве генеральных средних (t-критерий Стьюдента):</w:t>
      </w:r>
    </w:p>
    <w:p>
      <m:oMathPara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t>: </m:t>
          </m:r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;</m:t>
          </m:r>
        </m:oMath>
      </m:oMathPara>
    </w:p>
    <w:p>
      <w:pPr>
        <w:pStyle w:val="pStyle"/>
      </w:pPr>
      <w:r>
        <w:t xml:space="preserve">Альтернативная гипотеза формулируется в соответствии с условиями задачи или эксперимента:</w:t>
      </w:r>
    </w:p>
    <w:p>
      <m:oMathPara>
        <m:oMath>
          <m:sSub>
            <m:e>
              <m:r>
                <m:t>H</m:t>
              </m:r>
            </m:e>
            <m:sub>
              <m:r>
                <m:t>1</m:t>
              </m:r>
            </m:sub>
          </m:sSub>
          <m:r>
            <m:t>: 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 ≠  </m:t>
          </m:r>
          <m:acc>
            <m:accPr>
              <m:chr m:val="̅"/>
            </m:accPr>
            <m:e>
              <m:r>
                <m:t>y</m:t>
              </m:r>
            </m:e>
          </m:acc>
        </m:oMath>
      </m:oMathPara>
    </w:p>
    <w:p>
      <w:pPr>
        <w:pStyle w:val="pStyle"/>
      </w:pPr>
      <w:r>
        <w:t xml:space="preserve">(критическая область – двусторонняя)</w:t>
      </w:r>
    </w:p>
    <w:p>
      <w:pPr>
        <w:pStyle w:val="pStyle"/>
      </w:pPr>
      <w:r>
        <w:t xml:space="preserve">Найдём экспериментальное значение критерия Стьюдента:</w:t>
      </w:r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  <m:r>
            <m:t> = </m:t>
          </m:r>
        </m:oMath>
      </m:oMathPara>
      <m:oMathPara>
        <m:oMath>
          <m:f>
            <m:num>
              <m:r>
                <m:t>|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-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  <m:r>
                <m:t>|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sSub>
                    <m:e>
                      <m:r>
                        <m:t>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x</m:t>
                      </m:r>
                    </m:sub>
                  </m:sSub>
                  <m:r>
                    <m:t>+</m:t>
                  </m:r>
                  <m:sSub>
                    <m:e>
                      <m:r>
                        <m:t>n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D</m:t>
                      </m:r>
                    </m:e>
                    <m:sub>
                      <m:r>
                        <m:t>y</m:t>
                      </m:r>
                    </m:sub>
                  </m:sSub>
                </m:e>
              </m:rad>
            </m:den>
          </m:f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sSub>
                    <m:e>
                      <m:r>
                        <m:t>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n</m:t>
                      </m:r>
                    </m:e>
                    <m:sub>
                      <m:r>
                        <m:t>y</m:t>
                      </m:r>
                    </m:sub>
                  </m:sSub>
                  <m:sSub>
                    <m:e>
                      <m:r>
                        <m:t>(n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+n</m:t>
                      </m:r>
                    </m:e>
                    <m:sub>
                      <m:r>
                        <m:t>y</m:t>
                      </m:r>
                    </m:sub>
                  </m:sSub>
                  <m:r>
                    <m:t>-2)</m:t>
                  </m:r>
                </m:num>
                <m:den>
                  <m:sSub>
                    <m:e>
                      <m:r>
                        <m:t>n</m:t>
                      </m:r>
                    </m:e>
                    <m:sub>
                      <m:r>
                        <m:t>x</m:t>
                      </m:r>
                    </m:sub>
                  </m:sSub>
                  <m:sSub>
                    <m:e>
                      <m:r>
                        <m:t>+n</m:t>
                      </m:r>
                    </m:e>
                    <m:sub>
                      <m:r>
                        <m:t>y</m:t>
                      </m:r>
                    </m:sub>
                  </m:sSub>
                </m:den>
              </m:f>
            </m:e>
          </m:rad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|832-1009.667|</m:t>
              </m:r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5∙7497.2+6∙19878.222</m:t>
                  </m:r>
                </m:e>
              </m:rad>
            </m:den>
          </m:f>
          <m:r>
            <m:t> 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5∙6(5+6-2)</m:t>
                  </m:r>
                </m:num>
                <m:den>
                  <m:r>
                    <m:t>5+6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2.223</m:t>
          </m:r>
        </m:oMath>
      </m:oMathPara>
    </w:p>
    <w:p>
      <w:pPr>
        <w:pStyle w:val="pStyle"/>
      </w:pPr>
      <w:r>
        <w:t xml:space="preserve">Число степеней свободы f = n</w:t>
      </w:r>
      <w:r>
        <w:rPr>
          <w:vertAlign w:val="subscript"/>
        </w:rPr>
        <w:t>х</w:t>
      </w:r>
      <w:r>
        <w:t xml:space="preserve"> + n</w:t>
      </w:r>
      <w:r>
        <w:rPr>
          <w:vertAlign w:val="subscript"/>
        </w:rPr>
        <w:t>у</w:t>
      </w:r>
      <w:r>
        <w:t xml:space="preserve"> – 2 = 5 + 6 – 2 = 9</w:t>
      </w:r>
    </w:p>
    <w:p>
      <w:pPr>
        <w:pStyle w:val="pStyle"/>
      </w:pPr>
      <w:r>
        <w:t xml:space="preserve">Критическая область – двусторонняя: (-∞;-t</w:t>
      </w:r>
      <w:r>
        <w:rPr>
          <w:vertAlign w:val="subscript"/>
        </w:rPr>
        <w:t>kp</w:t>
      </w:r>
      <w:r>
        <w:t xml:space="preserve">)U(t</w:t>
      </w:r>
      <w:r>
        <w:rPr>
          <w:vertAlign w:val="subscript"/>
        </w:rPr>
        <w:t>kp</w:t>
      </w:r>
      <w:r>
        <w:t xml:space="preserve">;+∞).</w:t>
      </w:r>
    </w:p>
    <w:p>
      <w:pPr>
        <w:pStyle w:val="pStyle"/>
      </w:pPr>
      <w:r>
        <w:t xml:space="preserve">Определяем значение t</w:t>
      </w:r>
      <w:r>
        <w:rPr>
          <w:vertAlign w:val="subscript"/>
        </w:rPr>
        <w:t>kp</w:t>
      </w:r>
      <w:r>
        <w:t xml:space="preserve"> по таблице распределения Стьюдента</w:t>
      </w:r>
    </w:p>
    <w:p>
      <w:pPr>
        <w:pStyle w:val="pStyle"/>
      </w:pPr>
      <w:r>
        <w:t xml:space="preserve">По таблице Стьюдента находим: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(n</w:t>
      </w:r>
      <w:r>
        <w:rPr>
          <w:vertAlign w:val="subscript"/>
        </w:rPr>
        <w:t>1</w:t>
      </w:r>
      <w:r>
        <w:t xml:space="preserve">+n</w:t>
      </w:r>
      <w:r>
        <w:rPr>
          <w:vertAlign w:val="subscript"/>
        </w:rPr>
        <w:t>2</w:t>
      </w:r>
      <w:r>
        <w:t xml:space="preserve">-2;α/2) = T</w:t>
      </w:r>
      <w:r>
        <w:rPr>
          <w:vertAlign w:val="subscript"/>
        </w:rPr>
        <w:t>табл</w:t>
      </w:r>
      <w:r>
        <w:t xml:space="preserve">(9;0.025) = 2.685</w:t>
      </w:r>
    </w:p>
    <w:p>
      <w:pPr>
        <w:pStyle w:val="pStyle"/>
      </w:pPr>
      <w:r>
        <w:t xml:space="preserve">t</w:t>
      </w:r>
      <w:r>
        <w:rPr>
          <w:vertAlign w:val="subscript"/>
        </w:rPr>
        <w:t>kp</w:t>
      </w:r>
      <w:r>
        <w:t xml:space="preserve"> = 2.685</w:t>
      </w:r>
    </w:p>
    <w:p>
      <w:pPr>
        <w:pStyle w:val="pStyle"/>
      </w:pPr>
      <w:r>
        <w:t xml:space="preserve">Экспериментальное значение критерия T не попало в критическую область T &lt; t</w:t>
      </w:r>
      <w:r>
        <w:rPr>
          <w:vertAlign w:val="subscript"/>
        </w:rPr>
        <w:t>kp</w:t>
      </w:r>
      <w:r>
        <w:t xml:space="preserve">, поэтому нулевую гипотезу следует принять. Генеральные средние двух выборок равны.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Проверка статистических гипотез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Проверка гипотезы о виде распределения</w:t>
        </w:r>
      </w:hyperlink>
    </w:p>
    <w:p>
      <w:hyperlink r:id="rId9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0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p>
      <w:hyperlink r:id="rId11" w:history="1">
        <w:r>
          <w:rPr>
            <w:color w:val="0000FF"/>
            <w:u w:val="single"/>
          </w:rPr>
          <w:t xml:space="preserve">Доверительный интервал</w:t>
        </w:r>
      </w:hyperlink>
    </w:p>
    <w:p>
      <w:hyperlink r:id="rId12" w:history="1">
        <w:r>
          <w:rPr>
            <w:color w:val="0000FF"/>
            <w:u w:val="single"/>
          </w:rPr>
          <w:t xml:space="preserve">Решение задач по статистике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equality.php" TargetMode="External"/>
  <Relationship Id="rId8" Type="http://schemas.openxmlformats.org/officeDocument/2006/relationships/hyperlink" Target="https://math.semestr.ru/group/hypothesis-testing.php" TargetMode="External"/>
  <Relationship Id="rId9" Type="http://schemas.openxmlformats.org/officeDocument/2006/relationships/hyperlink" Target="https://math.semestr.ru/group/factor.php" TargetMode="External"/>
  <Relationship Id="rId10" Type="http://schemas.openxmlformats.org/officeDocument/2006/relationships/hyperlink" Target="https://math.semestr.ru/group/two-factor.php" TargetMode="External"/>
  <Relationship Id="rId11" Type="http://schemas.openxmlformats.org/officeDocument/2006/relationships/hyperlink" Target="https://math.semestr.ru/group/interval.php" TargetMode="External"/>
  <Relationship Id="rId12" Type="http://schemas.openxmlformats.org/officeDocument/2006/relationships/hyperlink" Target="https://math.semestr.ru/group/group_manual.php" TargetMode="External"/>
  <Relationship Id="rId13" Type="http://schemas.openxmlformats.org/officeDocument/2006/relationships/hyperlink" Target="https://math.semestr.ru/group/mathematical-psycholog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2024-08-13T07:41:00+03:00</dcterms:created>
  <dcterms:modified xsi:type="dcterms:W3CDTF">2024-08-13T07:41:00+03:00</dcterms:modified>
  <dc:title>Проверка гипотезы о равенстве дисперсий</dc:title>
  <dc:description>Проверка гипотезы о равенстве средних</dc:description>
  <dc:subject>Проверка гипотезы о равенстве дисперсий</dc:subject>
  <cp:keywords>https://math.semestr.ru/group/equality.php</cp:keywords>
  <cp:category>Проверка гипотезы о равенстве дисперсий</cp:category>
</cp:coreProperties>
</file>