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Границы у некоторых интервалом не определены. Доопределим их с учетом h=2</w:t>
      </w:r>
    </w:p>
    <w:p>
      <w:pPr>
        <w:pStyle w:val="pStyle"/>
      </w:pPr>
      <w:r>
        <w:t xml:space="preserve">Таблица для расчета показателей.</w:t>
      </w:r>
    </w:p>
    <w:tbl>
      <w:tblPr>
        <w:tblStyle w:val="myOwnTableStyle"/>
        <w:jc w:val="center"/>
      </w:tblPr>
      <w:tr>
        <w:tc>
          <w:tcPr>
            <w:tcW w:w="1100" w:type="dxa"/>
          </w:tcPr>
          <w:p>
            <w:r>
              <w:t xml:space="preserve">Группы</w:t>
            </w:r>
          </w:p>
        </w:tc>
        <w:tc>
          <w:tcPr>
            <w:tcW w:w="1100" w:type="dxa"/>
          </w:tcPr>
          <w:p>
            <w:r>
              <w:t xml:space="preserve">Середина интервала, x</w:t>
            </w:r>
            <w:r>
              <w:rPr>
                <w:vertAlign w:val="subscript"/>
              </w:rPr>
              <w:t>центр</w:t>
            </w:r>
          </w:p>
        </w:tc>
        <w:tc>
          <w:tcPr>
            <w:tcW w:w="1100" w:type="dxa"/>
          </w:tcPr>
          <w:p>
            <w:r>
              <w:t xml:space="preserve">Кол-во, f</w:t>
            </w:r>
            <w:r>
              <w:rPr>
                <w:vertAlign w:val="subscript"/>
              </w:rPr>
              <w:t>i</w:t>
            </w:r>
          </w:p>
        </w:tc>
        <w:tc>
          <w:tcPr>
            <w:tcW w:w="1100" w:type="dxa"/>
          </w:tcPr>
          <w:p>
            <w:r>
              <w:t xml:space="preserve">x</w:t>
            </w:r>
            <w:r>
              <w:rPr>
                <w:vertAlign w:val="subscript"/>
              </w:rPr>
              <w:t>i</w:t>
            </w:r>
            <w:r>
              <w:t xml:space="preserve">·f</w:t>
            </w:r>
            <w:r>
              <w:rPr>
                <w:vertAlign w:val="subscript"/>
              </w:rPr>
              <w:t>i</w:t>
            </w:r>
          </w:p>
        </w:tc>
        <w:tc>
          <w:tcPr>
            <w:tcW w:w="1100" w:type="dxa"/>
          </w:tcPr>
          <w:p>
            <w:r>
              <w:t xml:space="preserve">Накопленная частота, S</w:t>
            </w:r>
          </w:p>
        </w:tc>
        <w:tc>
          <w:tcPr>
            <w:tcW w:w="1100" w:type="dxa"/>
          </w:tcPr>
          <w:p>
            <m:oMathPara>
              <m:oMath>
                <m:r>
                  <m:t>|x-</m:t>
                </m:r>
                <m:bar>
                  <m:barPr>
                    <m:pos m:val="top"/>
                  </m:barPr>
                  <m:e>
                    <m:r>
                      <m:t>x</m:t>
                    </m:r>
                  </m:e>
                </m:bar>
                <m:r>
                  <m:t>|∙</m:t>
                </m:r>
                <m:sSub>
                  <m:e>
                    <m:r>
                      <m:t>f</m:t>
                    </m:r>
                  </m:e>
                  <m:sub>
                    <m:r>
                      <m:t>i</m:t>
                    </m:r>
                  </m:sub>
                </m:sSub>
              </m:oMath>
            </m:oMathPara>
          </w:p>
        </w:tc>
        <w:tc>
          <w:tcPr>
            <w:tcW w:w="1100" w:type="dxa"/>
          </w:tcPr>
          <w:p>
            <m:oMathPara>
              <m:oMath>
                <m:sSup>
                  <m:e>
                    <m:d>
                      <m:e>
                        <m:r>
                          <m:t>x-</m:t>
                        </m:r>
                        <m:bar>
                          <m:barPr>
                            <m:pos m:val="top"/>
                          </m:barPr>
                          <m:e>
                            <m:r>
                              <m:t>x</m:t>
                            </m:r>
                          </m:e>
                        </m:bar>
                      </m:e>
                    </m:d>
                  </m:e>
                  <m:sup>
                    <m:r>
                      <m:t>2</m:t>
                    </m:r>
                  </m:sup>
                </m:sSup>
                <m:r>
                  <m:t>∙</m:t>
                </m:r>
                <m:sSub>
                  <m:e>
                    <m:r>
                      <m:t>f</m:t>
                    </m:r>
                  </m:e>
                  <m:sub>
                    <m:r>
                      <m:t>i</m:t>
                    </m:r>
                  </m:sub>
                </m:sSub>
              </m:oMath>
            </m:oMathPara>
          </w:p>
        </w:tc>
        <w:tc>
          <w:tcPr>
            <w:tcW w:w="1100" w:type="dxa"/>
          </w:tcPr>
          <w:p>
            <w:r>
              <w:t xml:space="preserve">Относительная частота, f</w:t>
            </w:r>
            <w:r>
              <w:rPr>
                <w:vertAlign w:val="subscript"/>
              </w:rPr>
              <w:t>i</w:t>
            </w:r>
            <w:r>
              <w:t xml:space="preserve"> / f</w:t>
            </w:r>
          </w:p>
        </w:tc>
      </w:tr>
      <w:tr>
        <w:tc>
          <w:tcPr>
            <w:tcW w:w="1100" w:type="dxa"/>
          </w:tcPr>
          <w:p>
            <w:r>
              <w:t xml:space="preserve">40 - 42</w:t>
            </w:r>
          </w:p>
        </w:tc>
        <w:tc>
          <w:tcPr>
            <w:tcW w:w="1100" w:type="dxa"/>
          </w:tcPr>
          <w:p>
            <w:r>
              <w:t xml:space="preserve">41</w:t>
            </w:r>
          </w:p>
        </w:tc>
        <w:tc>
          <w:tcPr>
            <w:tcW w:w="1100" w:type="dxa"/>
          </w:tcPr>
          <w:p>
            <w:r>
              <w:t xml:space="preserve">5</w:t>
            </w:r>
          </w:p>
        </w:tc>
        <w:tc>
          <w:tcPr>
            <w:tcW w:w="1100" w:type="dxa"/>
          </w:tcPr>
          <w:p>
            <w:r>
              <w:t xml:space="preserve">205</w:t>
            </w:r>
          </w:p>
        </w:tc>
        <w:tc>
          <w:tcPr>
            <w:tcW w:w="1100" w:type="dxa"/>
          </w:tcPr>
          <w:p>
            <w:r>
              <w:t xml:space="preserve">5</w:t>
            </w:r>
          </w:p>
        </w:tc>
        <w:tc>
          <w:tcPr>
            <w:tcW w:w="1100" w:type="dxa"/>
          </w:tcPr>
          <w:p>
            <w:r>
              <w:t xml:space="preserve">29</w:t>
            </w:r>
          </w:p>
        </w:tc>
        <w:tc>
          <w:tcPr>
            <w:tcW w:w="1100" w:type="dxa"/>
          </w:tcPr>
          <w:p>
            <w:r>
              <w:t xml:space="preserve">168.2</w:t>
            </w:r>
          </w:p>
        </w:tc>
        <w:tc>
          <w:tcPr>
            <w:tcW w:w="1100" w:type="dxa"/>
          </w:tcPr>
          <w:p>
            <w:r>
              <w:t xml:space="preserve">0.05</w:t>
            </w:r>
          </w:p>
        </w:tc>
      </w:tr>
      <w:tr>
        <w:tc>
          <w:tcPr>
            <w:tcW w:w="1100" w:type="dxa"/>
          </w:tcPr>
          <w:p>
            <w:r>
              <w:t xml:space="preserve">42 - 44</w:t>
            </w:r>
          </w:p>
        </w:tc>
        <w:tc>
          <w:tcPr>
            <w:tcW w:w="1100" w:type="dxa"/>
          </w:tcPr>
          <w:p>
            <w:r>
              <w:t xml:space="preserve">43</w:t>
            </w:r>
          </w:p>
        </w:tc>
        <w:tc>
          <w:tcPr>
            <w:tcW w:w="1100" w:type="dxa"/>
          </w:tcPr>
          <w:p>
            <w:r>
              <w:t xml:space="preserve">10</w:t>
            </w:r>
          </w:p>
        </w:tc>
        <w:tc>
          <w:tcPr>
            <w:tcW w:w="1100" w:type="dxa"/>
          </w:tcPr>
          <w:p>
            <w:r>
              <w:t xml:space="preserve">430</w:t>
            </w:r>
          </w:p>
        </w:tc>
        <w:tc>
          <w:tcPr>
            <w:tcW w:w="1100" w:type="dxa"/>
          </w:tcPr>
          <w:p>
            <w:r>
              <w:t xml:space="preserve">15</w:t>
            </w:r>
          </w:p>
        </w:tc>
        <w:tc>
          <w:tcPr>
            <w:tcW w:w="1100" w:type="dxa"/>
          </w:tcPr>
          <w:p>
            <w:r>
              <w:t xml:space="preserve">38</w:t>
            </w:r>
          </w:p>
        </w:tc>
        <w:tc>
          <w:tcPr>
            <w:tcW w:w="1100" w:type="dxa"/>
          </w:tcPr>
          <w:p>
            <w:r>
              <w:t xml:space="preserve">144.4</w:t>
            </w:r>
          </w:p>
        </w:tc>
        <w:tc>
          <w:tcPr>
            <w:tcW w:w="1100" w:type="dxa"/>
          </w:tcPr>
          <w:p>
            <w:r>
              <w:t xml:space="preserve">0.1</w:t>
            </w:r>
          </w:p>
        </w:tc>
      </w:tr>
      <w:tr>
        <w:tc>
          <w:tcPr>
            <w:tcW w:w="1100" w:type="dxa"/>
          </w:tcPr>
          <w:p>
            <w:r>
              <w:t xml:space="preserve">44 - 46</w:t>
            </w:r>
          </w:p>
        </w:tc>
        <w:tc>
          <w:tcPr>
            <w:tcW w:w="1100" w:type="dxa"/>
          </w:tcPr>
          <w:p>
            <w:r>
              <w:t xml:space="preserve">45</w:t>
            </w:r>
          </w:p>
        </w:tc>
        <w:tc>
          <w:tcPr>
            <w:tcW w:w="1100" w:type="dxa"/>
          </w:tcPr>
          <w:p>
            <w:r>
              <w:t xml:space="preserve">20</w:t>
            </w:r>
          </w:p>
        </w:tc>
        <w:tc>
          <w:tcPr>
            <w:tcW w:w="1100" w:type="dxa"/>
          </w:tcPr>
          <w:p>
            <w:r>
              <w:t xml:space="preserve">900</w:t>
            </w:r>
          </w:p>
        </w:tc>
        <w:tc>
          <w:tcPr>
            <w:tcW w:w="1100" w:type="dxa"/>
          </w:tcPr>
          <w:p>
            <w:r>
              <w:t xml:space="preserve">35</w:t>
            </w:r>
          </w:p>
        </w:tc>
        <w:tc>
          <w:tcPr>
            <w:tcW w:w="1100" w:type="dxa"/>
          </w:tcPr>
          <w:p>
            <w:r>
              <w:t xml:space="preserve">36</w:t>
            </w:r>
          </w:p>
        </w:tc>
        <w:tc>
          <w:tcPr>
            <w:tcW w:w="1100" w:type="dxa"/>
          </w:tcPr>
          <w:p>
            <w:r>
              <w:t xml:space="preserve">64.8</w:t>
            </w:r>
          </w:p>
        </w:tc>
        <w:tc>
          <w:tcPr>
            <w:tcW w:w="1100" w:type="dxa"/>
          </w:tcPr>
          <w:p>
            <w:r>
              <w:t xml:space="preserve">0.2</w:t>
            </w:r>
          </w:p>
        </w:tc>
      </w:tr>
      <w:tr>
        <w:tc>
          <w:tcPr>
            <w:tcW w:w="1100" w:type="dxa"/>
          </w:tcPr>
          <w:p>
            <w:r>
              <w:t xml:space="preserve">46 - 48</w:t>
            </w:r>
          </w:p>
        </w:tc>
        <w:tc>
          <w:tcPr>
            <w:tcW w:w="1100" w:type="dxa"/>
          </w:tcPr>
          <w:p>
            <w:r>
              <w:t xml:space="preserve">47</w:t>
            </w:r>
          </w:p>
        </w:tc>
        <w:tc>
          <w:tcPr>
            <w:tcW w:w="1100" w:type="dxa"/>
          </w:tcPr>
          <w:p>
            <w:r>
              <w:t xml:space="preserve">30</w:t>
            </w:r>
          </w:p>
        </w:tc>
        <w:tc>
          <w:tcPr>
            <w:tcW w:w="1100" w:type="dxa"/>
          </w:tcPr>
          <w:p>
            <w:r>
              <w:t xml:space="preserve">1410</w:t>
            </w:r>
          </w:p>
        </w:tc>
        <w:tc>
          <w:tcPr>
            <w:tcW w:w="1100" w:type="dxa"/>
          </w:tcPr>
          <w:p>
            <w:r>
              <w:t xml:space="preserve">65</w:t>
            </w:r>
          </w:p>
        </w:tc>
        <w:tc>
          <w:tcPr>
            <w:tcW w:w="1100" w:type="dxa"/>
          </w:tcPr>
          <w:p>
            <w:r>
              <w:t xml:space="preserve">6</w:t>
            </w:r>
          </w:p>
        </w:tc>
        <w:tc>
          <w:tcPr>
            <w:tcW w:w="1100" w:type="dxa"/>
          </w:tcPr>
          <w:p>
            <w:r>
              <w:t xml:space="preserve">1.2</w:t>
            </w:r>
          </w:p>
        </w:tc>
        <w:tc>
          <w:tcPr>
            <w:tcW w:w="1100" w:type="dxa"/>
          </w:tcPr>
          <w:p>
            <w:r>
              <w:t xml:space="preserve">0.3</w:t>
            </w:r>
          </w:p>
        </w:tc>
      </w:tr>
      <w:tr>
        <w:tc>
          <w:tcPr>
            <w:tcW w:w="1100" w:type="dxa"/>
          </w:tcPr>
          <w:p>
            <w:r>
              <w:t xml:space="preserve">48 - 50</w:t>
            </w:r>
          </w:p>
        </w:tc>
        <w:tc>
          <w:tcPr>
            <w:tcW w:w="1100" w:type="dxa"/>
          </w:tcPr>
          <w:p>
            <w:r>
              <w:t xml:space="preserve">49</w:t>
            </w:r>
          </w:p>
        </w:tc>
        <w:tc>
          <w:tcPr>
            <w:tcW w:w="1100" w:type="dxa"/>
          </w:tcPr>
          <w:p>
            <w:r>
              <w:t xml:space="preserve">25</w:t>
            </w:r>
          </w:p>
        </w:tc>
        <w:tc>
          <w:tcPr>
            <w:tcW w:w="1100" w:type="dxa"/>
          </w:tcPr>
          <w:p>
            <w:r>
              <w:t xml:space="preserve">1225</w:t>
            </w:r>
          </w:p>
        </w:tc>
        <w:tc>
          <w:tcPr>
            <w:tcW w:w="1100" w:type="dxa"/>
          </w:tcPr>
          <w:p>
            <w:r>
              <w:t xml:space="preserve">90</w:t>
            </w:r>
          </w:p>
        </w:tc>
        <w:tc>
          <w:tcPr>
            <w:tcW w:w="1100" w:type="dxa"/>
          </w:tcPr>
          <w:p>
            <w:r>
              <w:t xml:space="preserve">55</w:t>
            </w:r>
          </w:p>
        </w:tc>
        <w:tc>
          <w:tcPr>
            <w:tcW w:w="1100" w:type="dxa"/>
          </w:tcPr>
          <w:p>
            <w:r>
              <w:t xml:space="preserve">121</w:t>
            </w:r>
          </w:p>
        </w:tc>
        <w:tc>
          <w:tcPr>
            <w:tcW w:w="1100" w:type="dxa"/>
          </w:tcPr>
          <w:p>
            <w:r>
              <w:t xml:space="preserve">0.25</w:t>
            </w:r>
          </w:p>
        </w:tc>
      </w:tr>
      <w:tr>
        <w:tc>
          <w:tcPr>
            <w:tcW w:w="1100" w:type="dxa"/>
          </w:tcPr>
          <w:p>
            <w:r>
              <w:t xml:space="preserve">50 - 52</w:t>
            </w:r>
          </w:p>
        </w:tc>
        <w:tc>
          <w:tcPr>
            <w:tcW w:w="1100" w:type="dxa"/>
          </w:tcPr>
          <w:p>
            <w:r>
              <w:t xml:space="preserve">51</w:t>
            </w:r>
          </w:p>
        </w:tc>
        <w:tc>
          <w:tcPr>
            <w:tcW w:w="1100" w:type="dxa"/>
          </w:tcPr>
          <w:p>
            <w:r>
              <w:t xml:space="preserve">10</w:t>
            </w:r>
          </w:p>
        </w:tc>
        <w:tc>
          <w:tcPr>
            <w:tcW w:w="1100" w:type="dxa"/>
          </w:tcPr>
          <w:p>
            <w:r>
              <w:t xml:space="preserve">510</w:t>
            </w:r>
          </w:p>
        </w:tc>
        <w:tc>
          <w:tcPr>
            <w:tcW w:w="1100" w:type="dxa"/>
          </w:tcPr>
          <w:p>
            <w:r>
              <w:t xml:space="preserve">100</w:t>
            </w:r>
          </w:p>
        </w:tc>
        <w:tc>
          <w:tcPr>
            <w:tcW w:w="1100" w:type="dxa"/>
          </w:tcPr>
          <w:p>
            <w:r>
              <w:t xml:space="preserve">42</w:t>
            </w:r>
          </w:p>
        </w:tc>
        <w:tc>
          <w:tcPr>
            <w:tcW w:w="1100" w:type="dxa"/>
          </w:tcPr>
          <w:p>
            <w:r>
              <w:t xml:space="preserve">176.4</w:t>
            </w:r>
          </w:p>
        </w:tc>
        <w:tc>
          <w:tcPr>
            <w:tcW w:w="1100" w:type="dxa"/>
          </w:tcPr>
          <w:p>
            <w:r>
              <w:t xml:space="preserve">0.1</w:t>
            </w:r>
          </w:p>
        </w:tc>
      </w:tr>
      <w:tr>
        <w:tc>
          <w:tcPr>
            <w:tcW w:w="1100" w:type="dxa"/>
          </w:tcPr>
          <w:p>
            <w:r>
              <w:t xml:space="preserve">Итого</w:t>
            </w:r>
          </w:p>
        </w:tc>
        <w:tc>
          <w:tcPr>
            <w:tcW w:w="1100" w:type="dxa"/>
          </w:tcPr>
          <w:p>
            <w:r>
              <w:t xml:space="preserve"> </w:t>
            </w:r>
          </w:p>
        </w:tc>
        <w:tc>
          <w:tcPr>
            <w:tcW w:w="1100" w:type="dxa"/>
          </w:tcPr>
          <w:p>
            <w:r>
              <w:t xml:space="preserve">100</w:t>
            </w:r>
          </w:p>
        </w:tc>
        <w:tc>
          <w:tcPr>
            <w:tcW w:w="1100" w:type="dxa"/>
          </w:tcPr>
          <w:p>
            <w:r>
              <w:t xml:space="preserve">4680</w:t>
            </w:r>
          </w:p>
        </w:tc>
        <w:tc>
          <w:tcPr>
            <w:tcW w:w="1100" w:type="dxa"/>
          </w:tcPr>
          <w:p>
            <w:r>
              <w:t xml:space="preserve"> </w:t>
            </w:r>
          </w:p>
        </w:tc>
        <w:tc>
          <w:tcPr>
            <w:tcW w:w="1100" w:type="dxa"/>
          </w:tcPr>
          <w:p>
            <w:r>
              <w:t xml:space="preserve">206</w:t>
            </w:r>
          </w:p>
        </w:tc>
        <w:tc>
          <w:tcPr>
            <w:tcW w:w="1100" w:type="dxa"/>
          </w:tcPr>
          <w:p>
            <w:r>
              <w:t xml:space="preserve">676</w:t>
            </w:r>
          </w:p>
        </w:tc>
        <w:tc>
          <w:tcPr>
            <w:tcW w:w="1100" w:type="dxa"/>
          </w:tcPr>
          <w:p>
            <w:r>
              <w:t xml:space="preserve">1</w:t>
            </w:r>
          </w:p>
        </w:tc>
      </w:tr>
    </w:tbl>
    <w:p>
      <w:pPr>
        <w:pStyle w:val="pStyle"/>
      </w:pPr>
      <w:r>
        <w:t xml:space="preserve">Для оценки ряда распределения найдем следующие показатели:</w:t>
      </w:r>
    </w:p>
    <w:p>
      <w:pPr>
        <w:pStyle w:val="pStyle"/>
      </w:pPr>
      <w:r>
        <w:rPr>
          <w:b/>
        </w:rPr>
        <w:t>Показатели центра распределения</w:t>
      </w:r>
      <w:r>
        <w:t xml:space="preserve">.</w:t>
      </w:r>
    </w:p>
    <w:p>
      <w:pPr>
        <w:pStyle w:val="pStyle"/>
      </w:pPr>
      <w:r>
        <w:rPr>
          <w:i/>
          <w:iCs/>
        </w:rPr>
        <w:t>Средняя взвешенная</w:t>
      </w:r>
      <w:r>
        <w:t xml:space="preserve"> (выборочная средняя)</w:t>
      </w:r>
    </w:p>
    <w:p>
      <m:oMathPara>
        <m:oMath>
          <m:acc>
            <m:accPr>
              <m:chr m:val="̅"/>
            </m:accPr>
            <m:e>
              <m:r>
                <m:t>x</m:t>
              </m:r>
            </m:e>
          </m:acc>
          <m:r>
            <m:t> = </m:t>
          </m:r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x</m:t>
                      </m:r>
                    </m:e>
                    <m:sub>
                      <m:r>
                        <m:t>i</m:t>
                      </m:r>
                    </m:sub>
                  </m:sSub>
                  <m:sSub>
                    <m:e>
                      <m:r>
                        <m:t>∙f</m:t>
                      </m:r>
                    </m:e>
                    <m:sub>
                      <m:r>
                        <m:t>i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f</m:t>
                      </m:r>
                    </m:e>
                    <m:sub>
                      <m:r>
                        <m:t>i</m:t>
                      </m:r>
                    </m:sub>
                  </m:sSub>
                </m:e>
              </m:nary>
            </m:den>
          </m:f>
          <m:r>
            <m:t> = </m:t>
          </m:r>
          <m:f>
            <m:num>
              <m:r>
                <m:t>4680</m:t>
              </m:r>
            </m:num>
            <m:den>
              <m:r>
                <m:t>100</m:t>
              </m:r>
            </m:den>
          </m:f>
          <m:r>
            <m:t> = 46.8</m:t>
          </m:r>
        </m:oMath>
      </m:oMathPara>
    </w:p>
    <w:p>
      <w:pPr>
        <w:pStyle w:val="pStyle"/>
      </w:pPr>
      <w:r>
        <w:rPr>
          <w:b/>
        </w:rPr>
        <w:t>Среднее значение изучаемого признака по способу моментов</w:t>
      </w:r>
      <w:r>
        <w:t xml:space="preserve">.</w:t>
      </w:r>
    </w:p>
    <w:p>
      <m:oMathPara>
        <m:oMath>
          <m:acc>
            <m:accPr>
              <m:chr m:val="̅"/>
            </m:accPr>
            <m:e>
              <m:r>
                <m:t>x</m:t>
              </m:r>
            </m:e>
          </m:acc>
          <m:r>
            <m:t> = </m:t>
          </m:r>
          <m:f>
            <m:num>
              <m:sSubSup>
                <m:e>
                  <m:r>
                    <m:t>x</m:t>
                  </m:r>
                </m:e>
                <m:sub>
                  <m:r>
                    <m:t>i</m:t>
                  </m:r>
                </m:sub>
                <m:sup>
                  <m:r>
                    <m:t>∙</m:t>
                  </m:r>
                </m:sup>
              </m:sSubSup>
              <m:r>
                <m:t>∙</m:t>
              </m:r>
              <m:sSub>
                <m:e>
                  <m:r>
                    <m:t>f</m:t>
                  </m:r>
                </m:e>
                <m:sub>
                  <m:r>
                    <m:t>i</m:t>
                  </m:r>
                </m:sub>
              </m:sSub>
            </m:num>
            <m:den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f</m:t>
                      </m:r>
                    </m:e>
                    <m:sub>
                      <m:r>
                        <m:t>i</m:t>
                      </m:r>
                    </m:sub>
                  </m:sSub>
                </m:e>
              </m:nary>
            </m:den>
          </m:f>
          <m:r>
            <m:t>∙h  + A</m:t>
          </m:r>
        </m:oMath>
      </m:oMathPara>
    </w:p>
    <w:p>
      <w:pPr>
        <w:pStyle w:val="pStyle"/>
      </w:pPr>
      <w:r>
        <w:t xml:space="preserve">где А – условный нуль, равный варианте с максимальной частотой (середина интервала с максимальной частотой), h – шаг интервала.</w:t>
      </w:r>
    </w:p>
    <w:p>
      <m:oMathPara>
        <m:oMath>
          <m:sSubSup>
            <m:e>
              <m:r>
                <m:t>x</m:t>
              </m:r>
            </m:e>
            <m:sub>
              <m:r>
                <m:t>i</m:t>
              </m:r>
            </m:sub>
            <m:sup>
              <m:r>
                <m:t>∙</m:t>
              </m:r>
            </m:sup>
          </m:sSubSup>
        </m:oMath>
      </m:oMathPara>
      <m:oMathPara>
        <m:oMath>
          <m:r>
            <m:t>=</m:t>
          </m:r>
        </m:oMath>
      </m:oMathPara>
      <m:oMathPara>
        <m:oMath>
          <m:f>
            <m:num>
              <m:sSub>
                <m:e>
                  <m:r>
                    <m:t>x</m:t>
                  </m:r>
                </m:e>
                <m:sub>
                  <m:r>
                    <m:t>i</m:t>
                  </m:r>
                </m:sub>
              </m:sSub>
              <m:r>
                <m:t> - A</m:t>
              </m:r>
            </m:num>
            <m:den>
              <m:r>
                <m:t>h</m:t>
              </m:r>
            </m:den>
          </m:f>
        </m:oMath>
      </m:oMathPara>
    </w:p>
    <w:p>
      <w:pPr>
        <w:pStyle w:val="pStyle"/>
      </w:pPr>
      <w:r>
        <w:t xml:space="preserve">Находим А = 47</w:t>
      </w:r>
    </w:p>
    <w:p>
      <w:pPr>
        <w:pStyle w:val="pStyle"/>
      </w:pPr>
      <w:r>
        <w:t xml:space="preserve">Шаг интервала h = 2</w:t>
      </w:r>
    </w:p>
    <w:p>
      <w:pPr>
        <w:pStyle w:val="pStyle"/>
      </w:pPr>
      <w:r>
        <w:rPr>
          <w:b/>
        </w:rPr>
        <w:t>Средний квадрат отклонений по способу моментов</w:t>
      </w:r>
      <w:r>
        <w:t xml:space="preserve">.</w:t>
      </w:r>
    </w:p>
    <w:p>
      <w:r>
        <w:t xml:space="preserve">
          <m:r>
            <m:t>D = </m:t>
          </m:r>
        </w:t>
      </w:r>
      <m:oMathPara>
        <m:oMath>
          <m:f>
            <m:num>
              <m:sSubSup>
                <m:e>
                  <m:r>
                    <m:t>[x</m:t>
                  </m:r>
                </m:e>
                <m:sub>
                  <m:r>
                    <m:t>i</m:t>
                  </m:r>
                </m:sub>
                <m:sup>
                  <m:r>
                    <m:t>∙</m:t>
                  </m:r>
                </m:sup>
              </m:sSubSup>
              <m:sSup>
                <m:e>
                  <m:r>
                    <m:t>]</m:t>
                  </m:r>
                </m:e>
                <m:sup>
                  <m:r>
                    <m:t>2</m:t>
                  </m:r>
                </m:sup>
              </m:sSup>
              <m:r>
                <m:t>∙</m:t>
              </m:r>
              <m:sSub>
                <m:e>
                  <m:r>
                    <m:t>f</m:t>
                  </m:r>
                </m:e>
                <m:sub>
                  <m:r>
                    <m:t>i</m:t>
                  </m:r>
                </m:sub>
              </m:sSub>
            </m:num>
            <m:den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f</m:t>
                      </m:r>
                    </m:e>
                    <m:sub>
                      <m:r>
                        <m:t>i</m:t>
                      </m:r>
                    </m:sub>
                  </m:sSub>
                </m:e>
              </m:nary>
            </m:den>
          </m:f>
        </m:oMath>
      </m:oMathPara>
      <m:oMathPara>
        <m:oMath>
          <m:r>
            <m:t>∙</m:t>
          </m:r>
          <m:sSup>
            <m:e>
              <m:r>
                <m:t>h</m:t>
              </m:r>
            </m:e>
            <m:sup>
              <m:r>
                <m:t>2</m:t>
              </m:r>
            </m:sup>
          </m:sSup>
          <m:r>
            <m:t>  + </m:t>
          </m:r>
        </m:oMath>
      </m:oMathPara>
      <m:oMathPara>
        <m:oMath>
          <m:r>
            <m:t>(</m:t>
          </m:r>
          <m:acc>
            <m:accPr>
              <m:chr m:val="̅"/>
            </m:accPr>
            <m:e>
              <m:r>
                <m:t>x</m:t>
              </m:r>
            </m:e>
          </m:acc>
          <m:sSup>
            <m:e>
              <m:r>
                <m:t> - A)</m:t>
              </m:r>
            </m:e>
            <m:sup>
              <m:r>
                <m:t>2</m:t>
              </m:r>
            </m:sup>
          </m:sSup>
        </m:oMath>
      </m:oMathPara>
    </w:p>
    <w:tbl>
      <w:tblPr>
        <w:tblStyle w:val="myOwnTableStyle"/>
        <w:jc w:val="center"/>
      </w:tblPr>
      <w:tr>
        <w:tc>
          <w:tcPr>
            <w:tcW w:w="2000" w:type="dxa"/>
          </w:tcPr>
          <w:p>
            <w:r>
              <w:t xml:space="preserve">x</w:t>
            </w:r>
            <w:r>
              <w:rPr>
                <w:vertAlign w:val="subscript"/>
              </w:rPr>
              <w:t>ц</w:t>
            </w:r>
          </w:p>
        </w:tc>
        <w:tc>
          <w:tcPr>
            <w:tcW w:w="2000" w:type="dxa"/>
          </w:tcPr>
          <w:p>
            <w:r>
              <w:t xml:space="preserve">x</w:t>
            </w:r>
            <w:r>
              <w:rPr>
                <w:vertAlign w:val="superscript"/>
              </w:rPr>
              <w:t>∙</w:t>
            </w:r>
            <w:r>
              <w:rPr>
                <w:vertAlign w:val="subscript"/>
              </w:rPr>
              <w:t>i</w:t>
            </w:r>
          </w:p>
        </w:tc>
        <w:tc>
          <w:tcPr>
            <w:tcW w:w="2000" w:type="dxa"/>
          </w:tcPr>
          <w:p>
            <w:r>
              <w:t xml:space="preserve">f</w:t>
            </w:r>
            <w:r>
              <w:rPr>
                <w:vertAlign w:val="subscript"/>
              </w:rPr>
              <w:t>i</w:t>
            </w:r>
          </w:p>
        </w:tc>
        <w:tc>
          <w:tcPr>
            <w:tcW w:w="2000" w:type="dxa"/>
          </w:tcPr>
          <w:p>
            <w:r>
              <w:t xml:space="preserve">x</w:t>
            </w:r>
            <w:r>
              <w:rPr>
                <w:vertAlign w:val="superscript"/>
              </w:rPr>
              <w:t>∙</w:t>
            </w:r>
            <w:r>
              <w:rPr>
                <w:vertAlign w:val="subscript"/>
              </w:rPr>
              <w:t>i</w:t>
            </w:r>
            <w:r>
              <w:t xml:space="preserve">f</w:t>
            </w:r>
            <w:r>
              <w:rPr>
                <w:vertAlign w:val="subscript"/>
              </w:rPr>
              <w:t>i</w:t>
            </w:r>
          </w:p>
        </w:tc>
        <w:tc>
          <w:tcPr>
            <w:tcW w:w="2000" w:type="dxa"/>
          </w:tcPr>
          <w:p>
            <w:r>
              <w:t xml:space="preserve">[x</w:t>
            </w:r>
            <w:r>
              <w:rPr>
                <w:vertAlign w:val="superscript"/>
              </w:rPr>
              <w:t>∙</w:t>
            </w:r>
            <w:r>
              <w:rPr>
                <w:vertAlign w:val="subscript"/>
              </w:rPr>
              <w:t>i</w:t>
            </w:r>
            <w:r>
              <w:t xml:space="preserve">]</w:t>
            </w:r>
            <w:r>
              <w:rPr>
                <w:vertAlign w:val="superscript"/>
              </w:rPr>
              <w:t>2</w:t>
            </w:r>
            <w:r>
              <w:t xml:space="preserve">f</w:t>
            </w:r>
            <w:r>
              <w:rPr>
                <w:vertAlign w:val="subscript"/>
              </w:rPr>
              <w:t>i</w:t>
            </w:r>
          </w:p>
        </w:tc>
      </w:tr>
      <w:tr>
        <w:tc>
          <w:tcPr>
            <w:tcW w:w="2000" w:type="dxa"/>
          </w:tcPr>
          <w:p>
            <w:r>
              <w:t xml:space="preserve">41</w:t>
            </w:r>
          </w:p>
        </w:tc>
        <w:tc>
          <w:tcPr>
            <w:tcW w:w="2000" w:type="dxa"/>
          </w:tcPr>
          <w:p>
            <w:r>
              <w:t xml:space="preserve">-3</w:t>
            </w:r>
          </w:p>
        </w:tc>
        <w:tc>
          <w:tcPr>
            <w:tcW w:w="2000" w:type="dxa"/>
          </w:tcPr>
          <w:p>
            <w:r>
              <w:t xml:space="preserve">5</w:t>
            </w:r>
          </w:p>
        </w:tc>
        <w:tc>
          <w:tcPr>
            <w:tcW w:w="2000" w:type="dxa"/>
          </w:tcPr>
          <w:p>
            <w:r>
              <w:t xml:space="preserve">-15</w:t>
            </w:r>
          </w:p>
        </w:tc>
        <w:tc>
          <w:tcPr>
            <w:tcW w:w="2000" w:type="dxa"/>
          </w:tcPr>
          <w:p>
            <w:r>
              <w:t xml:space="preserve">45</w:t>
            </w:r>
          </w:p>
        </w:tc>
      </w:tr>
      <w:tr>
        <w:tc>
          <w:tcPr>
            <w:tcW w:w="2000" w:type="dxa"/>
          </w:tcPr>
          <w:p>
            <w:r>
              <w:t xml:space="preserve">43</w:t>
            </w:r>
          </w:p>
        </w:tc>
        <w:tc>
          <w:tcPr>
            <w:tcW w:w="2000" w:type="dxa"/>
          </w:tcPr>
          <w:p>
            <w:r>
              <w:t xml:space="preserve">-2</w:t>
            </w:r>
          </w:p>
        </w:tc>
        <w:tc>
          <w:tcPr>
            <w:tcW w:w="2000" w:type="dxa"/>
          </w:tcPr>
          <w:p>
            <w:r>
              <w:t xml:space="preserve">10</w:t>
            </w:r>
          </w:p>
        </w:tc>
        <w:tc>
          <w:tcPr>
            <w:tcW w:w="2000" w:type="dxa"/>
          </w:tcPr>
          <w:p>
            <w:r>
              <w:t xml:space="preserve">-20</w:t>
            </w:r>
          </w:p>
        </w:tc>
        <w:tc>
          <w:tcPr>
            <w:tcW w:w="2000" w:type="dxa"/>
          </w:tcPr>
          <w:p>
            <w:r>
              <w:t xml:space="preserve">40</w:t>
            </w:r>
          </w:p>
        </w:tc>
      </w:tr>
      <w:tr>
        <w:tc>
          <w:tcPr>
            <w:tcW w:w="2000" w:type="dxa"/>
          </w:tcPr>
          <w:p>
            <w:r>
              <w:t xml:space="preserve">45</w:t>
            </w:r>
          </w:p>
        </w:tc>
        <w:tc>
          <w:tcPr>
            <w:tcW w:w="2000" w:type="dxa"/>
          </w:tcPr>
          <w:p>
            <w:r>
              <w:t xml:space="preserve">-1</w:t>
            </w:r>
          </w:p>
        </w:tc>
        <w:tc>
          <w:tcPr>
            <w:tcW w:w="2000" w:type="dxa"/>
          </w:tcPr>
          <w:p>
            <w:r>
              <w:t xml:space="preserve">20</w:t>
            </w:r>
          </w:p>
        </w:tc>
        <w:tc>
          <w:tcPr>
            <w:tcW w:w="2000" w:type="dxa"/>
          </w:tcPr>
          <w:p>
            <w:r>
              <w:t xml:space="preserve">-20</w:t>
            </w:r>
          </w:p>
        </w:tc>
        <w:tc>
          <w:tcPr>
            <w:tcW w:w="2000" w:type="dxa"/>
          </w:tcPr>
          <w:p>
            <w:r>
              <w:t xml:space="preserve">20</w:t>
            </w:r>
          </w:p>
        </w:tc>
      </w:tr>
      <w:tr>
        <w:tc>
          <w:tcPr>
            <w:tcW w:w="2000" w:type="dxa"/>
          </w:tcPr>
          <w:p>
            <w:r>
              <w:t xml:space="preserve">47</w:t>
            </w:r>
          </w:p>
        </w:tc>
        <w:tc>
          <w:tcPr>
            <w:tcW w:w="2000" w:type="dxa"/>
          </w:tcPr>
          <w:p>
            <w:r>
              <w:t xml:space="preserve">0</w:t>
            </w:r>
          </w:p>
        </w:tc>
        <w:tc>
          <w:tcPr>
            <w:tcW w:w="2000" w:type="dxa"/>
          </w:tcPr>
          <w:p>
            <w:r>
              <w:t xml:space="preserve">30</w:t>
            </w:r>
          </w:p>
        </w:tc>
        <w:tc>
          <w:tcPr>
            <w:tcW w:w="2000" w:type="dxa"/>
          </w:tcPr>
          <w:p>
            <w:r>
              <w:t xml:space="preserve">0</w:t>
            </w:r>
          </w:p>
        </w:tc>
        <w:tc>
          <w:tcPr>
            <w:tcW w:w="2000" w:type="dxa"/>
          </w:tcPr>
          <w:p>
            <w:r>
              <w:t xml:space="preserve">0</w:t>
            </w:r>
          </w:p>
        </w:tc>
      </w:tr>
      <w:tr>
        <w:tc>
          <w:tcPr>
            <w:tcW w:w="2000" w:type="dxa"/>
          </w:tcPr>
          <w:p>
            <w:r>
              <w:t xml:space="preserve">49</w:t>
            </w:r>
          </w:p>
        </w:tc>
        <w:tc>
          <w:tcPr>
            <w:tcW w:w="2000" w:type="dxa"/>
          </w:tcPr>
          <w:p>
            <w:r>
              <w:t xml:space="preserve">1</w:t>
            </w:r>
          </w:p>
        </w:tc>
        <w:tc>
          <w:tcPr>
            <w:tcW w:w="2000" w:type="dxa"/>
          </w:tcPr>
          <w:p>
            <w:r>
              <w:t xml:space="preserve">25</w:t>
            </w:r>
          </w:p>
        </w:tc>
        <w:tc>
          <w:tcPr>
            <w:tcW w:w="2000" w:type="dxa"/>
          </w:tcPr>
          <w:p>
            <w:r>
              <w:t xml:space="preserve">25</w:t>
            </w:r>
          </w:p>
        </w:tc>
        <w:tc>
          <w:tcPr>
            <w:tcW w:w="2000" w:type="dxa"/>
          </w:tcPr>
          <w:p>
            <w:r>
              <w:t xml:space="preserve">25</w:t>
            </w:r>
          </w:p>
        </w:tc>
      </w:tr>
      <w:tr>
        <w:tc>
          <w:tcPr>
            <w:tcW w:w="2000" w:type="dxa"/>
          </w:tcPr>
          <w:p>
            <w:r>
              <w:t xml:space="preserve">51</w:t>
            </w:r>
          </w:p>
        </w:tc>
        <w:tc>
          <w:tcPr>
            <w:tcW w:w="2000" w:type="dxa"/>
          </w:tcPr>
          <w:p>
            <w:r>
              <w:t xml:space="preserve">2</w:t>
            </w:r>
          </w:p>
        </w:tc>
        <w:tc>
          <w:tcPr>
            <w:tcW w:w="2000" w:type="dxa"/>
          </w:tcPr>
          <w:p>
            <w:r>
              <w:t xml:space="preserve">10</w:t>
            </w:r>
          </w:p>
        </w:tc>
        <w:tc>
          <w:tcPr>
            <w:tcW w:w="2000" w:type="dxa"/>
          </w:tcPr>
          <w:p>
            <w:r>
              <w:t xml:space="preserve">20</w:t>
            </w:r>
          </w:p>
        </w:tc>
        <w:tc>
          <w:tcPr>
            <w:tcW w:w="2000" w:type="dxa"/>
          </w:tcPr>
          <w:p>
            <w:r>
              <w:t xml:space="preserve">40</w:t>
            </w:r>
          </w:p>
        </w:tc>
      </w:tr>
      <w:tr>
        <w:tc>
          <w:tcPr>
            <w:tcW w:w="2000" w:type="dxa"/>
          </w:tcPr>
          <w:p>
            <w:r>
              <w:t xml:space="preserve"> </w:t>
            </w:r>
          </w:p>
        </w:tc>
        <w:tc>
          <w:tcPr>
            <w:tcW w:w="2000" w:type="dxa"/>
          </w:tcPr>
          <w:p>
            <w:r>
              <w:t xml:space="preserve"> </w:t>
            </w:r>
          </w:p>
        </w:tc>
        <w:tc>
          <w:tcPr>
            <w:tcW w:w="2000" w:type="dxa"/>
          </w:tcPr>
          <w:p>
            <w:r>
              <w:t xml:space="preserve">100</w:t>
            </w:r>
          </w:p>
        </w:tc>
        <w:tc>
          <w:tcPr>
            <w:tcW w:w="2000" w:type="dxa"/>
          </w:tcPr>
          <w:p>
            <w:r>
              <w:t xml:space="preserve">-10</w:t>
            </w:r>
          </w:p>
        </w:tc>
        <w:tc>
          <w:tcPr>
            <w:tcW w:w="2000" w:type="dxa"/>
          </w:tcPr>
          <w:p>
            <w:r>
              <w:t xml:space="preserve">170</w:t>
            </w:r>
          </w:p>
        </w:tc>
      </w:tr>
    </w:tbl>
    <w:p>
      <m:oMathPara>
        <m:oMath>
          <m:acc>
            <m:accPr>
              <m:chr m:val="̅"/>
            </m:accPr>
            <m:e>
              <m:r>
                <m:t>x</m:t>
              </m:r>
            </m:e>
          </m:acc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-10</m:t>
              </m:r>
            </m:num>
            <m:den>
              <m:r>
                <m:t>100</m:t>
              </m:r>
            </m:den>
          </m:f>
          <m:r>
            <m:t>∙2+47</m:t>
          </m:r>
        </m:oMath>
      </m:oMathPara>
      <m:oMathPara>
        <m:oMath>
          <m:r>
            <m:t>=</m:t>
          </m:r>
        </m:oMath>
      </m:oMathPara>
      <m:oMathPara>
        <m:oMath>
          <m:r>
            <m:t>46.8</m:t>
          </m:r>
        </m:oMath>
      </m:oMathPara>
    </w:p>
    <w:p>
      <m:oMathPara>
        <m:oMath>
          <m:r>
            <m:t>D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170</m:t>
              </m:r>
            </m:num>
            <m:den>
              <m:r>
                <m:t>100</m:t>
              </m:r>
            </m:den>
          </m:f>
          <m:r>
            <m:t>∙</m:t>
          </m:r>
          <m:sSup>
            <m:e>
              <m:r>
                <m:t>2</m:t>
              </m:r>
            </m:e>
            <m:sup>
              <m:r>
                <m:t>2</m:t>
              </m:r>
            </m:sup>
          </m:sSup>
          <m:r>
            <m:t>-</m:t>
          </m:r>
          <m:sSup>
            <m:e>
              <m:r>
                <m:t>(46.8-47)</m:t>
              </m:r>
            </m:e>
            <m:sup>
              <m:r>
                <m:t>2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r>
            <m:t>6.76</m:t>
          </m:r>
        </m:oMath>
      </m:oMathPara>
    </w:p>
    <w:p>
      <w:pPr>
        <w:pStyle w:val="pStyle"/>
      </w:pPr>
      <w:r>
        <w:rPr>
          <w:i/>
          <w:iCs/>
        </w:rPr>
        <w:t>Среднее квадратическое отклонение</w:t>
      </w:r>
      <w:r>
        <w:t xml:space="preserve">.</w:t>
      </w:r>
    </w:p>
    <w:p>
      <m:oMathPara>
        <m:oMath>
          <m:r>
            <m:t>σ</m:t>
          </m:r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  <m:ctrlPr/>
            </m:radPr>
            <m:deg/>
            <m:e>
              <m:r>
                <m:t>D</m:t>
              </m:r>
            </m:e>
          </m:rad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  <m:ctrlPr/>
            </m:radPr>
            <m:deg/>
            <m:e>
              <m:r>
                <m:t>6.76</m:t>
              </m:r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2.6</m:t>
          </m:r>
        </m:oMath>
      </m:oMathPara>
    </w:p>
    <w:p>
      <w:pPr>
        <w:pStyle w:val="pStyle"/>
      </w:pPr>
      <w:r>
        <w:rPr>
          <w:b/>
        </w:rPr>
        <w:t>Показатели вариации</w:t>
      </w:r>
      <w:r>
        <w:t xml:space="preserve">.</w:t>
      </w:r>
    </w:p>
    <w:p>
      <w:pPr>
        <w:pStyle w:val="pStyle"/>
      </w:pPr>
      <w:r>
        <w:rPr>
          <w:i/>
          <w:iCs/>
        </w:rPr>
        <w:t>Абсолютные показатели вариации</w:t>
      </w:r>
      <w:r>
        <w:t xml:space="preserve">.</w:t>
      </w:r>
    </w:p>
    <w:p>
      <w:pPr>
        <w:pStyle w:val="pStyle"/>
      </w:pPr>
      <w:r>
        <w:t xml:space="preserve">Размах вариации - разность между максимальным и минимальным значениями признака первичного ряда.</w:t>
      </w:r>
    </w:p>
    <w:p>
      <w:pPr>
        <w:pStyle w:val="pStyle"/>
      </w:pPr>
      <w:r>
        <w:t xml:space="preserve">R = x</w:t>
      </w:r>
      <w:r>
        <w:rPr>
          <w:vertAlign w:val="subscript"/>
        </w:rPr>
        <w:t>max</w:t>
      </w:r>
      <w:r>
        <w:t xml:space="preserve"> - x</w:t>
      </w:r>
      <w:r>
        <w:rPr>
          <w:vertAlign w:val="subscript"/>
        </w:rPr>
        <w:t>min</w:t>
      </w:r>
      <w:r>
        <w:t xml:space="preserve"> = 52 - 40 = 12</w:t>
      </w:r>
    </w:p>
    <w:p>
      <w:pPr>
        <w:pStyle w:val="pStyle"/>
      </w:pPr>
      <w:r>
        <w:rPr>
          <w:i/>
          <w:iCs/>
        </w:rPr>
        <w:t>Дисперсия</w:t>
      </w:r>
      <w:r>
        <w:t xml:space="preserve"> - характеризует меру разброса около ее среднего значения (мера рассеивания, т.е. отклонения от среднего).</w:t>
      </w:r>
    </w:p>
    <w:p>
      <w:r>
        <w:t xml:space="preserve">
          <m:r>
            <m:t>D = </m:t>
          </m:r>
        </w:t>
      </w:r>
      <m:oMathPara>
        <m:oMath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r>
                    <m:t>(</m:t>
                  </m:r>
                  <m:sSub>
                    <m:e>
                      <m:r>
                        <m:t>x</m:t>
                      </m:r>
                    </m:e>
                    <m:sub>
                      <m:r>
                        <m:t>i</m:t>
                      </m:r>
                    </m:sub>
                  </m:sSub>
                  <m:sSup>
                    <m:e>
                      <m:r>
                        <m:t> - </m:t>
                      </m:r>
                      <m:acc>
                        <m:accPr>
                          <m:chr m:val="̅"/>
                        </m:accPr>
                        <m:e>
                          <m:r>
                            <m:t>x</m:t>
                          </m:r>
                        </m:e>
                      </m:acc>
                      <m:r>
                        <m:t>)</m:t>
                      </m:r>
                    </m:e>
                    <m:sup>
                      <m:r>
                        <m:t>2</m:t>
                      </m:r>
                    </m:sup>
                  </m:sSup>
                  <m:sSub>
                    <m:e>
                      <m:r>
                        <m:t> f</m:t>
                      </m:r>
                    </m:e>
                    <m:sub>
                      <m:r>
                        <m:t>i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f</m:t>
                      </m:r>
                    </m:e>
                    <m:sub>
                      <m:r>
                        <m:t>i</m:t>
                      </m:r>
                    </m:sub>
                  </m:sSub>
                </m:e>
              </m:nary>
            </m:den>
          </m:f>
        </m:oMath>
      </m:oMathPara>
      <w:r>
        <w:t xml:space="preserve">
          <m:r>
            <m:t> = </m:t>
          </m:r>
        </w:t>
      </w:r>
      <m:oMathPara>
        <m:oMath>
          <m:f>
            <m:num>
              <m:r>
                <m:t>676</m:t>
              </m:r>
            </m:num>
            <m:den>
              <m:r>
                <m:t>100</m:t>
              </m:r>
            </m:den>
          </m:f>
        </m:oMath>
      </m:oMathPara>
      <w:r>
        <w:t xml:space="preserve">
          <m:r>
            <m:t> = 6.76</m:t>
          </m:r>
        </w:t>
      </w:r>
    </w:p>
    <w:p>
      <w:pPr>
        <w:pStyle w:val="pStyle"/>
      </w:pPr>
      <w:r>
        <w:rPr>
          <w:i/>
          <w:iCs/>
        </w:rPr>
        <w:t>Среднее квадратическое отклонение</w:t>
      </w:r>
      <w:r>
        <w:t xml:space="preserve">.</w:t>
      </w:r>
    </w:p>
    <w:p>
      <m:oMathPara>
        <m:oMath>
          <m:r>
            <m:t>σ</m:t>
          </m:r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  <m:ctrlPr/>
            </m:radPr>
            <m:deg/>
            <m:e>
              <m:r>
                <m:t>D</m:t>
              </m:r>
            </m:e>
          </m:rad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  <m:ctrlPr/>
            </m:radPr>
            <m:deg/>
            <m:e>
              <m:r>
                <m:t>6.76</m:t>
              </m:r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2.6</m:t>
          </m:r>
        </m:oMath>
      </m:oMathPara>
    </w:p>
    <w:p>
      <w:pPr>
        <w:pStyle w:val="pStyle"/>
      </w:pPr>
      <w:r>
        <w:t xml:space="preserve">Каждое значение ряда отличается от среднего значения 46.8 в среднем на 2.6</w:t>
      </w:r>
    </w:p>
    <w:p>
      <w:pPr>
        <w:pStyle w:val="pStyle"/>
      </w:pPr>
      <w:r>
        <w:rPr>
          <w:b/>
        </w:rPr>
        <w:t>Выводы</w:t>
      </w:r>
      <w:r>
        <w:t xml:space="preserve">:</w:t>
      </w:r>
    </w:p>
    <w:p>
      <w:pPr>
        <w:pStyle w:val="pStyle"/>
      </w:pPr>
      <w:r>
        <w:t xml:space="preserve">Каждое значение ряда отличается от среднего значения 46.8 в среднем на 2.6.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Среднее значение изучаемого признака по способу моментов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Группировка данных</w:t>
        </w:r>
      </w:hyperlink>
    </w:p>
    <w:p>
      <w:hyperlink r:id="rId9" w:history="1">
        <w:r>
          <w:rPr>
            <w:color w:val="0000FF"/>
            <w:u w:val="single"/>
          </w:rPr>
          <w:t xml:space="preserve">Показатели вариации</w:t>
        </w:r>
      </w:hyperlink>
    </w:p>
    <w:p>
      <w:hyperlink r:id="rId10" w:history="1">
        <w:r>
          <w:rPr>
            <w:color w:val="0000FF"/>
            <w:u w:val="single"/>
          </w:rPr>
          <w:t xml:space="preserve">Метод аналитического выравнивания</w:t>
        </w:r>
      </w:hyperlink>
    </w:p>
    <w:p>
      <w:hyperlink r:id="rId11" w:history="1">
        <w:r>
          <w:rPr>
            <w:color w:val="0000FF"/>
            <w:u w:val="single"/>
          </w:rPr>
          <w:t xml:space="preserve">Однофакторный дисперсионный анализ</w:t>
        </w:r>
      </w:hyperlink>
    </w:p>
    <w:p>
      <w:hyperlink r:id="rId12" w:history="1">
        <w:r>
          <w:rPr>
            <w:color w:val="0000FF"/>
            <w:u w:val="single"/>
          </w:rPr>
          <w:t xml:space="preserve">Уравнение парной линейной регрессии</w:t>
        </w:r>
      </w:hyperlink>
    </w:p>
    <w:p>
      <w:hyperlink r:id="rId13" w:history="1">
        <w:r>
          <w:rPr>
            <w:color w:val="0000FF"/>
            <w:u w:val="single"/>
          </w:rPr>
          <w:t xml:space="preserve">Показатели рядов динамики (цепные, базисные, средние)</w:t>
        </w:r>
      </w:hyperlink>
    </w:p>
    <w:p>
      <w:hyperlink r:id="rId14" w:history="1">
        <w:r>
          <w:rPr>
            <w:color w:val="0000FF"/>
            <w:u w:val="single"/>
          </w:rPr>
          <w:t xml:space="preserve">Общий индекс товарооборота</w:t>
        </w:r>
      </w:hyperlink>
    </w:p>
    <w:p>
      <w:hyperlink r:id="rId15" w:history="1">
        <w:r>
          <w:rPr>
            <w:color w:val="0000FF"/>
            <w:u w:val="single"/>
          </w:rPr>
          <w:t xml:space="preserve">Индекс цен переменного состава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group/moment.php" TargetMode="External"/>
  <Relationship Id="rId8" Type="http://schemas.openxmlformats.org/officeDocument/2006/relationships/hyperlink" Target="https://math.semestr.ru/group/group.php" TargetMode="External"/>
  <Relationship Id="rId9" Type="http://schemas.openxmlformats.org/officeDocument/2006/relationships/hyperlink" Target="https://math.semestr.ru/group/variations.php" TargetMode="External"/>
  <Relationship Id="rId10" Type="http://schemas.openxmlformats.org/officeDocument/2006/relationships/hyperlink" Target="https://math.semestr.ru/trend/analis.php" TargetMode="External"/>
  <Relationship Id="rId11" Type="http://schemas.openxmlformats.org/officeDocument/2006/relationships/hyperlink" Target="https://math.semestr.ru/group/factor.php" TargetMode="External"/>
  <Relationship Id="rId12" Type="http://schemas.openxmlformats.org/officeDocument/2006/relationships/hyperlink" Target="https://math.semestr.ru/corel/corel.php" TargetMode="External"/>
  <Relationship Id="rId13" Type="http://schemas.openxmlformats.org/officeDocument/2006/relationships/hyperlink" Target="https://axd.semestr.ru/dinam/group.php" TargetMode="External"/>
  <Relationship Id="rId14" Type="http://schemas.openxmlformats.org/officeDocument/2006/relationships/hyperlink" Target="https://axd.semestr.ru/index/index.php" TargetMode="External"/>
  <Relationship Id="rId15" Type="http://schemas.openxmlformats.org/officeDocument/2006/relationships/hyperlink" Target="https://axd.semestr.ru/index/ind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2024-09-13T07:54:00+03:00</dcterms:created>
  <dcterms:modified xsi:type="dcterms:W3CDTF">2024-09-13T07:54:00+03:00</dcterms:modified>
  <dc:title>Среднее значение изучаемого признака по способу моментов</dc:title>
  <dc:description>Среднее значение изучаемого признака по способу моментов</dc:description>
  <dc:subject>Среднее значение изучаемого признака по способу моментов</dc:subject>
  <cp:keywords>https://math.semestr.ru/group/moment.php</cp:keywords>
  <cp:category>Среднее значение изучаемого признака по способу моментов</cp:category>
</cp:coreProperties>
</file>