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Отсортируем данные по убыванию</w:t>
      </w:r>
    </w:p>
    <w:p>
      <w:pPr>
        <w:pStyle w:val="pStyle"/>
      </w:pPr>
      <w:r>
        <w:t xml:space="preserve">Так как в матрице имеются связанные ранги (одинаковый ранговый номер) 1-го ряда, произведем их переформирование. Переформирование рангов производиться без изменения важности ранга, то есть между ранговыми номерами должны сохраниться соответствующие соотношения (больше, меньше или равно). Также не рекомендуется ставить ранг выше 1 и ниже значения равного количеству параметров (в данном случае n = 15).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228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177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70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54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/>
        </w:tc>
        <w:tc>
          <w:tcPr>
            <w:tcW w:w="1500" w:type="dxa"/>
          </w:tcPr>
          <w:p>
            <w:r>
              <w:t xml:space="preserve">15</w:t>
            </w:r>
          </w:p>
        </w:tc>
      </w:tr>
    </w:tbl>
    <w:p>
      <w:pPr>
        <w:pStyle w:val="pStyle"/>
      </w:pPr>
      <w:r>
        <w:t xml:space="preserve">Сумма по столбцу равна ∑=120</w:t>
      </w:r>
    </w:p>
    <w:p>
      <w:pPr>
        <w:pStyle w:val="pStyle"/>
      </w:pPr>
      <w:r>
        <w:t xml:space="preserve">Проверка правильности составления матрицы на основе исчисления контрольной суммы: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sSub>
                <m:e>
                  <m:r>
                    <m:t>x</m:t>
                  </m:r>
                </m:e>
                <m:sub>
                  <m:r>
                    <m:t>ij</m:t>
                  </m:r>
                </m:sub>
              </m:sSub>
            </m:e>
          </m:nary>
          <m:r>
            <m:t> = </m:t>
          </m:r>
          <m:f>
            <m:num>
              <m:r>
                <m:t>(1+n)n</m:t>
              </m:r>
            </m:num>
            <m:den>
              <m:r>
                <m:t>2</m:t>
              </m:r>
            </m:den>
          </m:f>
          <m:r>
            <m:t> = </m:t>
          </m:r>
          <m:f>
            <m:num>
              <m:r>
                <m:t>(1+15)15</m:t>
              </m:r>
            </m:num>
            <m:den>
              <m:r>
                <m:t>2</m:t>
              </m:r>
            </m:den>
          </m:f>
          <m:r>
            <m:t> = 120</m:t>
          </m:r>
        </m:oMath>
      </m:oMathPara>
    </w:p>
    <w:p>
      <w:pPr>
        <w:pStyle w:val="pStyle"/>
      </w:pPr>
      <w:r>
        <w:t xml:space="preserve">Сумма по столбцу и контрольная сумма равны между собой, значит, ранжирование проведено правильно.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Ранжирование данных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Кендэла</w:t>
        </w:r>
      </w:hyperlink>
    </w:p>
    <w:p>
      <w:hyperlink r:id="rId11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p>
      <w:hyperlink r:id="rId12" w:history="1">
        <w:r>
          <w:rPr>
            <w:color w:val="0000FF"/>
            <w:u w:val="single"/>
          </w:rPr>
          <w:t xml:space="preserve">Коэффициент ранговой корреляции Спирмена</w:t>
        </w:r>
      </w:hyperlink>
    </w:p>
    <w:p>
      <w:hyperlink r:id="rId13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4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roup/rang.php" TargetMode="External"/>
  <Relationship Id="rId8" Type="http://schemas.openxmlformats.org/officeDocument/2006/relationships/hyperlink" Target="https://math.semestr.ru/corel/spirmen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corel/kendel.php" TargetMode="External"/>
  <Relationship Id="rId11" Type="http://schemas.openxmlformats.org/officeDocument/2006/relationships/hyperlink" Target="https://math.semestr.ru/group/mathematical-psychology.php" TargetMode="External"/>
  <Relationship Id="rId12" Type="http://schemas.openxmlformats.org/officeDocument/2006/relationships/hyperlink" Target="https://math.semestr.ru/corel/spirmen.php" TargetMode="External"/>
  <Relationship Id="rId13" Type="http://schemas.openxmlformats.org/officeDocument/2006/relationships/hyperlink" Target="https://math.semestr.ru/group/factor.php" TargetMode="External"/>
  <Relationship Id="rId14" Type="http://schemas.openxmlformats.org/officeDocument/2006/relationships/hyperlink" Target="https://math.semestr.ru/group/two-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2024-08-12T14:33:00+03:00</dcterms:created>
  <dcterms:modified xsi:type="dcterms:W3CDTF">2024-08-12T14:33:00+03:00</dcterms:modified>
  <dc:title>math.semestr.ru/group/rang.php</dc:title>
  <dc:description>https://math.semestr.ru/group/rang.php</dc:description>
  <dc:subject>https://math.semestr.ru/group/rang.php</dc:subject>
  <cp:keywords>Ранжирование данных</cp:keywords>
  <cp:category>https://math.semestr.ru/group/rang.php</cp:category>
</cp:coreProperties>
</file>