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Для подсчета этого критерия нет необходимости упорядочивать ряды значений по нарастанию признака.</w:t>
      </w:r>
    </w:p>
    <w:p>
      <w:pPr>
        <w:pStyle w:val="pStyle"/>
      </w:pPr>
      <w:r>
        <w:t xml:space="preserve">Первый шаг в подсчете T-критерия – вычитание каждого индивидуального значения "до" из значения"после".</w:t>
      </w:r>
    </w:p>
    <w:tbl>
      <w:tblPr>
        <w:tblStyle w:val="myOwnTableStyle"/>
        <w:jc w:val="center"/>
      </w:tblPr>
      <w:tr>
        <w:tc>
          <w:tcPr>
            <w:tcW w:w="2000" w:type="dxa"/>
          </w:tcPr>
          <w:p>
            <w:r>
              <w:t xml:space="preserve">До измерения, t</w:t>
            </w:r>
            <w:r>
              <w:rPr>
                <w:vertAlign w:val="subscript"/>
              </w:rPr>
              <w:t>до</w:t>
            </w:r>
          </w:p>
        </w:tc>
        <w:tc>
          <w:tcPr>
            <w:tcW w:w="2000" w:type="dxa"/>
          </w:tcPr>
          <w:p>
            <w:r>
              <w:t xml:space="preserve">После измерения, t</w:t>
            </w:r>
            <w:r>
              <w:rPr>
                <w:vertAlign w:val="subscript"/>
              </w:rPr>
              <w:t>после</w:t>
            </w:r>
          </w:p>
        </w:tc>
        <w:tc>
          <w:tcPr>
            <w:tcW w:w="2000" w:type="dxa"/>
          </w:tcPr>
          <w:p>
            <w:r>
              <w:t xml:space="preserve">Разность (t</w:t>
            </w:r>
            <w:r>
              <w:rPr>
                <w:vertAlign w:val="subscript"/>
              </w:rPr>
              <w:t>до</w:t>
            </w:r>
            <w:r>
              <w:t xml:space="preserve">-t</w:t>
            </w:r>
            <w:r>
              <w:rPr>
                <w:vertAlign w:val="subscript"/>
              </w:rPr>
              <w:t>после</w:t>
            </w:r>
            <w:r>
              <w:t xml:space="preserve">)</w:t>
            </w:r>
          </w:p>
        </w:tc>
        <w:tc>
          <w:tcPr>
            <w:tcW w:w="2000" w:type="dxa"/>
          </w:tcPr>
          <w:p>
            <w:r>
              <w:t xml:space="preserve">Абсолютное значение разности</w:t>
            </w:r>
          </w:p>
        </w:tc>
      </w:tr>
      <w:tr>
        <w:tc>
          <w:tcPr>
            <w:tcW w:w="2000" w:type="dxa"/>
          </w:tcPr>
          <w:p>
            <w:r>
              <w:t xml:space="preserve">16</w:t>
            </w:r>
          </w:p>
        </w:tc>
        <w:tc>
          <w:tcPr>
            <w:tcW w:w="2000" w:type="dxa"/>
          </w:tcPr>
          <w:p>
            <w:r>
              <w:t xml:space="preserve">17</w:t>
            </w:r>
          </w:p>
        </w:tc>
        <w:tc>
          <w:tcPr>
            <w:tcW w:w="2000" w:type="dxa"/>
          </w:tcPr>
          <w:p>
            <w:r>
              <w:t xml:space="preserve">1</w:t>
            </w:r>
          </w:p>
        </w:tc>
        <w:tc>
          <w:tcPr>
            <w:tcW w:w="2000" w:type="dxa"/>
          </w:tcPr>
          <w:p>
            <w:r>
              <w:t xml:space="preserve">1</w:t>
            </w:r>
          </w:p>
        </w:tc>
      </w:tr>
      <w:tr>
        <w:tc>
          <w:tcPr>
            <w:tcW w:w="2000" w:type="dxa"/>
          </w:tcPr>
          <w:p>
            <w:r>
              <w:t xml:space="preserve">17</w:t>
            </w:r>
          </w:p>
        </w:tc>
        <w:tc>
          <w:tcPr>
            <w:tcW w:w="2000" w:type="dxa"/>
          </w:tcPr>
          <w:p>
            <w:r>
              <w:t xml:space="preserve">18</w:t>
            </w:r>
          </w:p>
        </w:tc>
        <w:tc>
          <w:tcPr>
            <w:tcW w:w="2000" w:type="dxa"/>
          </w:tcPr>
          <w:p>
            <w:r>
              <w:t xml:space="preserve">1</w:t>
            </w:r>
          </w:p>
        </w:tc>
        <w:tc>
          <w:tcPr>
            <w:tcW w:w="2000" w:type="dxa"/>
          </w:tcPr>
          <w:p>
            <w:r>
              <w:t xml:space="preserve">1</w:t>
            </w:r>
          </w:p>
        </w:tc>
      </w:tr>
      <w:tr>
        <w:tc>
          <w:tcPr>
            <w:tcW w:w="2000" w:type="dxa"/>
          </w:tcPr>
          <w:p>
            <w:r>
              <w:t xml:space="preserve">30</w:t>
            </w:r>
          </w:p>
        </w:tc>
        <w:tc>
          <w:tcPr>
            <w:tcW w:w="2000" w:type="dxa"/>
          </w:tcPr>
          <w:p>
            <w:r>
              <w:t xml:space="preserve">36</w:t>
            </w:r>
          </w:p>
        </w:tc>
        <w:tc>
          <w:tcPr>
            <w:tcW w:w="2000" w:type="dxa"/>
          </w:tcPr>
          <w:p>
            <w:r>
              <w:t xml:space="preserve">6</w:t>
            </w:r>
          </w:p>
        </w:tc>
        <w:tc>
          <w:tcPr>
            <w:tcW w:w="2000" w:type="dxa"/>
          </w:tcPr>
          <w:p>
            <w:r>
              <w:t xml:space="preserve">6</w:t>
            </w:r>
          </w:p>
        </w:tc>
      </w:tr>
      <w:tr>
        <w:tc>
          <w:tcPr>
            <w:tcW w:w="2000" w:type="dxa"/>
          </w:tcPr>
          <w:p>
            <w:r>
              <w:t xml:space="preserve">23</w:t>
            </w:r>
          </w:p>
        </w:tc>
        <w:tc>
          <w:tcPr>
            <w:tcW w:w="2000" w:type="dxa"/>
          </w:tcPr>
          <w:p>
            <w:r>
              <w:t xml:space="preserve">24</w:t>
            </w:r>
          </w:p>
        </w:tc>
        <w:tc>
          <w:tcPr>
            <w:tcW w:w="2000" w:type="dxa"/>
          </w:tcPr>
          <w:p>
            <w:r>
              <w:t xml:space="preserve">1</w:t>
            </w:r>
          </w:p>
        </w:tc>
        <w:tc>
          <w:tcPr>
            <w:tcW w:w="2000" w:type="dxa"/>
          </w:tcPr>
          <w:p>
            <w:r>
              <w:t xml:space="preserve">1</w:t>
            </w:r>
          </w:p>
        </w:tc>
      </w:tr>
      <w:tr>
        <w:tc>
          <w:tcPr>
            <w:tcW w:w="2000" w:type="dxa"/>
          </w:tcPr>
          <w:p>
            <w:r>
              <w:t xml:space="preserve">37</w:t>
            </w:r>
          </w:p>
        </w:tc>
        <w:tc>
          <w:tcPr>
            <w:tcW w:w="2000" w:type="dxa"/>
          </w:tcPr>
          <w:p>
            <w:r>
              <w:t xml:space="preserve">40</w:t>
            </w:r>
          </w:p>
        </w:tc>
        <w:tc>
          <w:tcPr>
            <w:tcW w:w="2000" w:type="dxa"/>
          </w:tcPr>
          <w:p>
            <w:r>
              <w:t xml:space="preserve">3</w:t>
            </w:r>
          </w:p>
        </w:tc>
        <w:tc>
          <w:tcPr>
            <w:tcW w:w="2000" w:type="dxa"/>
          </w:tcPr>
          <w:p>
            <w:r>
              <w:t xml:space="preserve">3</w:t>
            </w:r>
          </w:p>
        </w:tc>
      </w:tr>
      <w:tr>
        <w:tc>
          <w:tcPr>
            <w:tcW w:w="2000" w:type="dxa"/>
          </w:tcPr>
          <w:p>
            <w:r>
              <w:t xml:space="preserve">21</w:t>
            </w:r>
          </w:p>
        </w:tc>
        <w:tc>
          <w:tcPr>
            <w:tcW w:w="2000" w:type="dxa"/>
          </w:tcPr>
          <w:p>
            <w:r>
              <w:t xml:space="preserve">22</w:t>
            </w:r>
          </w:p>
        </w:tc>
        <w:tc>
          <w:tcPr>
            <w:tcW w:w="2000" w:type="dxa"/>
          </w:tcPr>
          <w:p>
            <w:r>
              <w:t xml:space="preserve">1</w:t>
            </w:r>
          </w:p>
        </w:tc>
        <w:tc>
          <w:tcPr>
            <w:tcW w:w="2000" w:type="dxa"/>
          </w:tcPr>
          <w:p>
            <w:r>
              <w:t xml:space="preserve">1</w:t>
            </w:r>
          </w:p>
        </w:tc>
      </w:tr>
      <w:tr>
        <w:tc>
          <w:tcPr>
            <w:tcW w:w="2000" w:type="dxa"/>
          </w:tcPr>
          <w:p>
            <w:r>
              <w:t xml:space="preserve">7</w:t>
            </w:r>
          </w:p>
        </w:tc>
        <w:tc>
          <w:tcPr>
            <w:tcW w:w="2000" w:type="dxa"/>
          </w:tcPr>
          <w:p>
            <w:r>
              <w:t xml:space="preserve">6</w:t>
            </w:r>
          </w:p>
        </w:tc>
        <w:tc>
          <w:tcPr>
            <w:tcW w:w="2000" w:type="dxa"/>
          </w:tcPr>
          <w:p>
            <w:r>
              <w:t xml:space="preserve">-1</w:t>
            </w:r>
          </w:p>
        </w:tc>
        <w:tc>
          <w:tcPr>
            <w:tcW w:w="2000" w:type="dxa"/>
          </w:tcPr>
          <w:p>
            <w:r>
              <w:t xml:space="preserve">1</w:t>
            </w:r>
          </w:p>
        </w:tc>
      </w:tr>
      <w:tr>
        <w:tc>
          <w:tcPr>
            <w:tcW w:w="2000" w:type="dxa"/>
          </w:tcPr>
          <w:p>
            <w:r>
              <w:t xml:space="preserve">11</w:t>
            </w:r>
          </w:p>
        </w:tc>
        <w:tc>
          <w:tcPr>
            <w:tcW w:w="2000" w:type="dxa"/>
          </w:tcPr>
          <w:p>
            <w:r>
              <w:t xml:space="preserve">14</w:t>
            </w:r>
          </w:p>
        </w:tc>
        <w:tc>
          <w:tcPr>
            <w:tcW w:w="2000" w:type="dxa"/>
          </w:tcPr>
          <w:p>
            <w:r>
              <w:t xml:space="preserve">3</w:t>
            </w:r>
          </w:p>
        </w:tc>
        <w:tc>
          <w:tcPr>
            <w:tcW w:w="2000" w:type="dxa"/>
          </w:tcPr>
          <w:p>
            <w:r>
              <w:t xml:space="preserve">3</w:t>
            </w:r>
          </w:p>
        </w:tc>
      </w:tr>
      <w:tr>
        <w:tc>
          <w:tcPr>
            <w:tcW w:w="2000" w:type="dxa"/>
          </w:tcPr>
          <w:p>
            <w:r>
              <w:t xml:space="preserve">8</w:t>
            </w:r>
          </w:p>
        </w:tc>
        <w:tc>
          <w:tcPr>
            <w:tcW w:w="2000" w:type="dxa"/>
          </w:tcPr>
          <w:p>
            <w:r>
              <w:t xml:space="preserve">7</w:t>
            </w:r>
          </w:p>
        </w:tc>
        <w:tc>
          <w:tcPr>
            <w:tcW w:w="2000" w:type="dxa"/>
          </w:tcPr>
          <w:p>
            <w:r>
              <w:t xml:space="preserve">-1</w:t>
            </w:r>
          </w:p>
        </w:tc>
        <w:tc>
          <w:tcPr>
            <w:tcW w:w="2000" w:type="dxa"/>
          </w:tcPr>
          <w:p>
            <w:r>
              <w:t xml:space="preserve">1</w:t>
            </w:r>
          </w:p>
        </w:tc>
      </w:tr>
      <w:tr>
        <w:tc>
          <w:tcPr>
            <w:tcW w:w="2000" w:type="dxa"/>
          </w:tcPr>
          <w:p>
            <w:r>
              <w:t xml:space="preserve">7</w:t>
            </w:r>
          </w:p>
        </w:tc>
        <w:tc>
          <w:tcPr>
            <w:tcW w:w="2000" w:type="dxa"/>
          </w:tcPr>
          <w:p>
            <w:r>
              <w:t xml:space="preserve">9</w:t>
            </w:r>
          </w:p>
        </w:tc>
        <w:tc>
          <w:tcPr>
            <w:tcW w:w="2000" w:type="dxa"/>
          </w:tcPr>
          <w:p>
            <w:r>
              <w:t xml:space="preserve">2</w:t>
            </w:r>
          </w:p>
        </w:tc>
        <w:tc>
          <w:tcPr>
            <w:tcW w:w="2000" w:type="dxa"/>
          </w:tcPr>
          <w:p>
            <w:r>
              <w:t xml:space="preserve">2</w:t>
            </w:r>
          </w:p>
        </w:tc>
      </w:tr>
      <w:tr>
        <w:tc>
          <w:tcPr>
            <w:tcW w:w="2000" w:type="dxa"/>
          </w:tcPr>
          <w:p>
            <w:r>
              <w:t xml:space="preserve">12</w:t>
            </w:r>
          </w:p>
        </w:tc>
        <w:tc>
          <w:tcPr>
            <w:tcW w:w="2000" w:type="dxa"/>
          </w:tcPr>
          <w:p>
            <w:r>
              <w:t xml:space="preserve">15</w:t>
            </w:r>
          </w:p>
        </w:tc>
        <w:tc>
          <w:tcPr>
            <w:tcW w:w="2000" w:type="dxa"/>
          </w:tcPr>
          <w:p>
            <w:r>
              <w:t xml:space="preserve">3</w:t>
            </w:r>
          </w:p>
        </w:tc>
        <w:tc>
          <w:tcPr>
            <w:tcW w:w="2000" w:type="dxa"/>
          </w:tcPr>
          <w:p>
            <w:r>
              <w:t xml:space="preserve">3</w:t>
            </w:r>
          </w:p>
        </w:tc>
      </w:tr>
      <w:tr>
        <w:tc>
          <w:tcPr>
            <w:tcW w:w="2000" w:type="dxa"/>
          </w:tcPr>
          <w:p>
            <w:r>
              <w:t xml:space="preserve">27</w:t>
            </w:r>
          </w:p>
        </w:tc>
        <w:tc>
          <w:tcPr>
            <w:tcW w:w="2000" w:type="dxa"/>
          </w:tcPr>
          <w:p>
            <w:r>
              <w:t xml:space="preserve">29</w:t>
            </w:r>
          </w:p>
        </w:tc>
        <w:tc>
          <w:tcPr>
            <w:tcW w:w="2000" w:type="dxa"/>
          </w:tcPr>
          <w:p>
            <w:r>
              <w:t xml:space="preserve">2</w:t>
            </w:r>
          </w:p>
        </w:tc>
        <w:tc>
          <w:tcPr>
            <w:tcW w:w="2000" w:type="dxa"/>
          </w:tcPr>
          <w:p>
            <w:r>
              <w:t xml:space="preserve">2</w:t>
            </w:r>
          </w:p>
        </w:tc>
      </w:tr>
      <w:tr>
        <w:tc>
          <w:tcPr>
            <w:tcW w:w="2000" w:type="dxa"/>
          </w:tcPr>
          <w:p>
            <w:r>
              <w:t xml:space="preserve">14</w:t>
            </w:r>
          </w:p>
        </w:tc>
        <w:tc>
          <w:tcPr>
            <w:tcW w:w="2000" w:type="dxa"/>
          </w:tcPr>
          <w:p>
            <w:r>
              <w:t xml:space="preserve">16</w:t>
            </w:r>
          </w:p>
        </w:tc>
        <w:tc>
          <w:tcPr>
            <w:tcW w:w="2000" w:type="dxa"/>
          </w:tcPr>
          <w:p>
            <w:r>
              <w:t xml:space="preserve">2</w:t>
            </w:r>
          </w:p>
        </w:tc>
        <w:tc>
          <w:tcPr>
            <w:tcW w:w="2000" w:type="dxa"/>
          </w:tcPr>
          <w:p>
            <w:r>
              <w:t xml:space="preserve">2</w:t>
            </w:r>
          </w:p>
        </w:tc>
      </w:tr>
      <w:tr>
        <w:tc>
          <w:tcPr>
            <w:tcW w:w="2000" w:type="dxa"/>
          </w:tcPr>
          <w:p>
            <w:r>
              <w:t xml:space="preserve">17</w:t>
            </w:r>
          </w:p>
        </w:tc>
        <w:tc>
          <w:tcPr>
            <w:tcW w:w="2000" w:type="dxa"/>
          </w:tcPr>
          <w:p>
            <w:r>
              <w:t xml:space="preserve">16</w:t>
            </w:r>
          </w:p>
        </w:tc>
        <w:tc>
          <w:tcPr>
            <w:tcW w:w="2000" w:type="dxa"/>
          </w:tcPr>
          <w:p>
            <w:r>
              <w:t xml:space="preserve">-1</w:t>
            </w:r>
          </w:p>
        </w:tc>
        <w:tc>
          <w:tcPr>
            <w:tcW w:w="2000" w:type="dxa"/>
          </w:tcPr>
          <w:p>
            <w:r>
              <w:t xml:space="preserve">1</w:t>
            </w:r>
          </w:p>
        </w:tc>
      </w:tr>
      <w:tr>
        <w:tc>
          <w:tcPr>
            <w:tcW w:w="2000" w:type="dxa"/>
          </w:tcPr>
          <w:p>
            <w:r>
              <w:t xml:space="preserve">19</w:t>
            </w:r>
          </w:p>
        </w:tc>
        <w:tc>
          <w:tcPr>
            <w:tcW w:w="2000" w:type="dxa"/>
          </w:tcPr>
          <w:p>
            <w:r>
              <w:t xml:space="preserve">21</w:t>
            </w:r>
          </w:p>
        </w:tc>
        <w:tc>
          <w:tcPr>
            <w:tcW w:w="2000" w:type="dxa"/>
          </w:tcPr>
          <w:p>
            <w:r>
              <w:t xml:space="preserve">2</w:t>
            </w:r>
          </w:p>
        </w:tc>
        <w:tc>
          <w:tcPr>
            <w:tcW w:w="2000" w:type="dxa"/>
          </w:tcPr>
          <w:p>
            <w:r>
              <w:t xml:space="preserve">2</w:t>
            </w:r>
          </w:p>
        </w:tc>
      </w:tr>
      <w:tr>
        <w:tc>
          <w:tcPr>
            <w:tcW w:w="2000" w:type="dxa"/>
          </w:tcPr>
          <w:p>
            <w:r>
              <w:t xml:space="preserve">20</w:t>
            </w:r>
          </w:p>
        </w:tc>
        <w:tc>
          <w:tcPr>
            <w:tcW w:w="2000" w:type="dxa"/>
          </w:tcPr>
          <w:p>
            <w:r>
              <w:t xml:space="preserve">21</w:t>
            </w:r>
          </w:p>
        </w:tc>
        <w:tc>
          <w:tcPr>
            <w:tcW w:w="2000" w:type="dxa"/>
          </w:tcPr>
          <w:p>
            <w:r>
              <w:t xml:space="preserve">1</w:t>
            </w:r>
          </w:p>
        </w:tc>
        <w:tc>
          <w:tcPr>
            <w:tcW w:w="2000" w:type="dxa"/>
          </w:tcPr>
          <w:p>
            <w:r>
              <w:t xml:space="preserve">1</w:t>
            </w:r>
          </w:p>
        </w:tc>
      </w:tr>
      <w:tr>
        <w:tc>
          <w:tcPr>
            <w:tcW w:w="2000" w:type="dxa"/>
          </w:tcPr>
          <w:p>
            <w:r>
              <w:t xml:space="preserve">21</w:t>
            </w:r>
          </w:p>
        </w:tc>
        <w:tc>
          <w:tcPr>
            <w:tcW w:w="2000" w:type="dxa"/>
          </w:tcPr>
          <w:p>
            <w:r>
              <w:t xml:space="preserve">22</w:t>
            </w:r>
          </w:p>
        </w:tc>
        <w:tc>
          <w:tcPr>
            <w:tcW w:w="2000" w:type="dxa"/>
          </w:tcPr>
          <w:p>
            <w:r>
              <w:t xml:space="preserve">1</w:t>
            </w:r>
          </w:p>
        </w:tc>
        <w:tc>
          <w:tcPr>
            <w:tcW w:w="2000" w:type="dxa"/>
          </w:tcPr>
          <w:p>
            <w:r>
              <w:t xml:space="preserve">1</w:t>
            </w:r>
          </w:p>
        </w:tc>
      </w:tr>
      <w:tr>
        <w:tc>
          <w:tcPr>
            <w:tcW w:w="2000" w:type="dxa"/>
          </w:tcPr>
          <w:p>
            <w:r>
              <w:t xml:space="preserve">20</w:t>
            </w:r>
          </w:p>
        </w:tc>
        <w:tc>
          <w:tcPr>
            <w:tcW w:w="2000" w:type="dxa"/>
          </w:tcPr>
          <w:p>
            <w:r>
              <w:t xml:space="preserve">23</w:t>
            </w:r>
          </w:p>
        </w:tc>
        <w:tc>
          <w:tcPr>
            <w:tcW w:w="2000" w:type="dxa"/>
          </w:tcPr>
          <w:p>
            <w:r>
              <w:t xml:space="preserve">3</w:t>
            </w:r>
          </w:p>
        </w:tc>
        <w:tc>
          <w:tcPr>
            <w:tcW w:w="2000" w:type="dxa"/>
          </w:tcPr>
          <w:p>
            <w:r>
              <w:t xml:space="preserve">3</w:t>
            </w:r>
          </w:p>
        </w:tc>
      </w:tr>
      <w:tr>
        <w:tc>
          <w:tcPr>
            <w:tcW w:w="2000" w:type="dxa"/>
          </w:tcPr>
          <w:p>
            <w:r>
              <w:t xml:space="preserve">14</w:t>
            </w:r>
          </w:p>
        </w:tc>
        <w:tc>
          <w:tcPr>
            <w:tcW w:w="2000" w:type="dxa"/>
          </w:tcPr>
          <w:p>
            <w:r>
              <w:t xml:space="preserve">16</w:t>
            </w:r>
          </w:p>
        </w:tc>
        <w:tc>
          <w:tcPr>
            <w:tcW w:w="2000" w:type="dxa"/>
          </w:tcPr>
          <w:p>
            <w:r>
              <w:t xml:space="preserve">2</w:t>
            </w:r>
          </w:p>
        </w:tc>
        <w:tc>
          <w:tcPr>
            <w:tcW w:w="2000" w:type="dxa"/>
          </w:tcPr>
          <w:p>
            <w:r>
              <w:t xml:space="preserve">2</w:t>
            </w:r>
          </w:p>
        </w:tc>
      </w:tr>
      <w:tr>
        <w:tc>
          <w:tcPr>
            <w:tcW w:w="2000" w:type="dxa"/>
          </w:tcPr>
          <w:p>
            <w:r>
              <w:t xml:space="preserve">12</w:t>
            </w:r>
          </w:p>
        </w:tc>
        <w:tc>
          <w:tcPr>
            <w:tcW w:w="2000" w:type="dxa"/>
          </w:tcPr>
          <w:p>
            <w:r>
              <w:t xml:space="preserve">16</w:t>
            </w:r>
          </w:p>
        </w:tc>
        <w:tc>
          <w:tcPr>
            <w:tcW w:w="2000" w:type="dxa"/>
          </w:tcPr>
          <w:p>
            <w:r>
              <w:t xml:space="preserve">4</w:t>
            </w:r>
          </w:p>
        </w:tc>
        <w:tc>
          <w:tcPr>
            <w:tcW w:w="2000" w:type="dxa"/>
          </w:tcPr>
          <w:p>
            <w:r>
              <w:t xml:space="preserve">4</w:t>
            </w:r>
          </w:p>
        </w:tc>
      </w:tr>
    </w:tbl>
    <w:p>
      <w:pPr>
        <w:pStyle w:val="pStyle"/>
      </w:pPr>
      <w:r>
        <w:t xml:space="preserve">Так как в матрице имеются связанные ранги (одинаковый ранговый номер) 1-го ряда, произведем их переформирование. Переформирование рангов производиться без изменения важности ранга, то есть между ранговыми номерами должны сохраниться соответствующие соотношения (больше, меньше или равно). Также не рекомендуется ставить ранг выше 1 и ниже значения равного количеству параметров (в данном случае n = 20). Переформирование рангов производится в табл.</w:t>
      </w:r>
    </w:p>
    <w:tbl>
      <w:tblPr>
        <w:tblStyle w:val="myOwnTableStyle"/>
        <w:jc w:val="center"/>
      </w:tblPr>
      <w:tr>
        <w:tc>
          <w:tcPr>
            <w:tcW w:w="1500" w:type="dxa"/>
          </w:tcPr>
          <w:p>
            <w:r>
              <w:t xml:space="preserve">Номера мест в упорядоченном ряду</w:t>
            </w:r>
          </w:p>
        </w:tc>
        <w:tc>
          <w:tcPr>
            <w:tcW w:w="1500" w:type="dxa"/>
          </w:tcPr>
          <w:p>
            <w:r>
              <w:t xml:space="preserve">Расположение факторов по оценке эксперта</w:t>
            </w:r>
          </w:p>
        </w:tc>
        <w:tc>
          <w:tcPr>
            <w:tcW w:w="1500" w:type="dxa"/>
          </w:tcPr>
          <w:p>
            <w:r>
              <w:t xml:space="preserve">Новые ранги</w:t>
            </w:r>
          </w:p>
        </w:tc>
      </w:tr>
      <w:tr>
        <w:tc>
          <w:tcPr>
            <w:tcW w:w="1500" w:type="dxa"/>
          </w:tcPr>
          <w:p>
            <w:r>
              <w:t xml:space="preserve">1</w:t>
            </w:r>
          </w:p>
        </w:tc>
        <w:tc>
          <w:tcPr>
            <w:tcW w:w="1500" w:type="dxa"/>
          </w:tcPr>
          <w:p>
            <w:r>
              <w:t xml:space="preserve">1</w:t>
            </w:r>
          </w:p>
        </w:tc>
        <w:tc>
          <w:tcPr>
            <w:tcW w:w="1500" w:type="dxa"/>
          </w:tcPr>
          <w:p>
            <w:r>
              <w:t xml:space="preserve">5</w:t>
            </w:r>
          </w:p>
        </w:tc>
      </w:tr>
      <w:tr>
        <w:tc>
          <w:tcPr>
            <w:tcW w:w="1500" w:type="dxa"/>
          </w:tcPr>
          <w:p>
            <w:r>
              <w:t xml:space="preserve">2</w:t>
            </w:r>
          </w:p>
        </w:tc>
        <w:tc>
          <w:tcPr>
            <w:tcW w:w="1500" w:type="dxa"/>
          </w:tcPr>
          <w:p>
            <w:r>
              <w:t xml:space="preserve">1</w:t>
            </w:r>
          </w:p>
        </w:tc>
        <w:tc>
          <w:tcPr>
            <w:tcW w:w="1500" w:type="dxa"/>
          </w:tcPr>
          <w:p>
            <w:r>
              <w:t xml:space="preserve">5</w:t>
            </w:r>
          </w:p>
        </w:tc>
      </w:tr>
      <w:tr>
        <w:tc>
          <w:tcPr>
            <w:tcW w:w="1500" w:type="dxa"/>
          </w:tcPr>
          <w:p>
            <w:r>
              <w:t xml:space="preserve">3</w:t>
            </w:r>
          </w:p>
        </w:tc>
        <w:tc>
          <w:tcPr>
            <w:tcW w:w="1500" w:type="dxa"/>
          </w:tcPr>
          <w:p>
            <w:r>
              <w:t xml:space="preserve">1</w:t>
            </w:r>
          </w:p>
        </w:tc>
        <w:tc>
          <w:tcPr>
            <w:tcW w:w="1500" w:type="dxa"/>
          </w:tcPr>
          <w:p>
            <w:r>
              <w:t xml:space="preserve">5</w:t>
            </w:r>
          </w:p>
        </w:tc>
      </w:tr>
      <w:tr>
        <w:tc>
          <w:tcPr>
            <w:tcW w:w="1500" w:type="dxa"/>
          </w:tcPr>
          <w:p>
            <w:r>
              <w:t xml:space="preserve">4</w:t>
            </w:r>
          </w:p>
        </w:tc>
        <w:tc>
          <w:tcPr>
            <w:tcW w:w="1500" w:type="dxa"/>
          </w:tcPr>
          <w:p>
            <w:r>
              <w:t xml:space="preserve">1</w:t>
            </w:r>
          </w:p>
        </w:tc>
        <w:tc>
          <w:tcPr>
            <w:tcW w:w="1500" w:type="dxa"/>
          </w:tcPr>
          <w:p>
            <w:r>
              <w:t xml:space="preserve">5</w:t>
            </w:r>
          </w:p>
        </w:tc>
      </w:tr>
      <w:tr>
        <w:tc>
          <w:tcPr>
            <w:tcW w:w="1500" w:type="dxa"/>
          </w:tcPr>
          <w:p>
            <w:r>
              <w:t xml:space="preserve">5</w:t>
            </w:r>
          </w:p>
        </w:tc>
        <w:tc>
          <w:tcPr>
            <w:tcW w:w="1500" w:type="dxa"/>
          </w:tcPr>
          <w:p>
            <w:r>
              <w:t xml:space="preserve">1</w:t>
            </w:r>
          </w:p>
        </w:tc>
        <w:tc>
          <w:tcPr>
            <w:tcW w:w="1500" w:type="dxa"/>
          </w:tcPr>
          <w:p>
            <w:r>
              <w:t xml:space="preserve">5</w:t>
            </w:r>
          </w:p>
        </w:tc>
      </w:tr>
      <w:tr>
        <w:tc>
          <w:tcPr>
            <w:tcW w:w="1500" w:type="dxa"/>
          </w:tcPr>
          <w:p>
            <w:r>
              <w:t xml:space="preserve">6</w:t>
            </w:r>
          </w:p>
        </w:tc>
        <w:tc>
          <w:tcPr>
            <w:tcW w:w="1500" w:type="dxa"/>
          </w:tcPr>
          <w:p>
            <w:r>
              <w:t xml:space="preserve">1</w:t>
            </w:r>
          </w:p>
        </w:tc>
        <w:tc>
          <w:tcPr>
            <w:tcW w:w="1500" w:type="dxa"/>
          </w:tcPr>
          <w:p>
            <w:r>
              <w:t xml:space="preserve">5</w:t>
            </w:r>
          </w:p>
        </w:tc>
      </w:tr>
      <w:tr>
        <w:tc>
          <w:tcPr>
            <w:tcW w:w="1500" w:type="dxa"/>
          </w:tcPr>
          <w:p>
            <w:r>
              <w:t xml:space="preserve">7</w:t>
            </w:r>
          </w:p>
        </w:tc>
        <w:tc>
          <w:tcPr>
            <w:tcW w:w="1500" w:type="dxa"/>
          </w:tcPr>
          <w:p>
            <w:r>
              <w:t xml:space="preserve">1</w:t>
            </w:r>
          </w:p>
        </w:tc>
        <w:tc>
          <w:tcPr>
            <w:tcW w:w="1500" w:type="dxa"/>
          </w:tcPr>
          <w:p>
            <w:r>
              <w:t xml:space="preserve">5</w:t>
            </w:r>
          </w:p>
        </w:tc>
      </w:tr>
      <w:tr>
        <w:tc>
          <w:tcPr>
            <w:tcW w:w="1500" w:type="dxa"/>
          </w:tcPr>
          <w:p>
            <w:r>
              <w:t xml:space="preserve">8</w:t>
            </w:r>
          </w:p>
        </w:tc>
        <w:tc>
          <w:tcPr>
            <w:tcW w:w="1500" w:type="dxa"/>
          </w:tcPr>
          <w:p>
            <w:r>
              <w:t xml:space="preserve">1</w:t>
            </w:r>
          </w:p>
        </w:tc>
        <w:tc>
          <w:tcPr>
            <w:tcW w:w="1500" w:type="dxa"/>
          </w:tcPr>
          <w:p>
            <w:r>
              <w:t xml:space="preserve">5</w:t>
            </w:r>
          </w:p>
        </w:tc>
      </w:tr>
      <w:tr>
        <w:tc>
          <w:tcPr>
            <w:tcW w:w="1500" w:type="dxa"/>
          </w:tcPr>
          <w:p>
            <w:r>
              <w:t xml:space="preserve">9</w:t>
            </w:r>
          </w:p>
        </w:tc>
        <w:tc>
          <w:tcPr>
            <w:tcW w:w="1500" w:type="dxa"/>
          </w:tcPr>
          <w:p>
            <w:r>
              <w:t xml:space="preserve">1</w:t>
            </w:r>
          </w:p>
        </w:tc>
        <w:tc>
          <w:tcPr>
            <w:tcW w:w="1500" w:type="dxa"/>
          </w:tcPr>
          <w:p>
            <w:r>
              <w:t xml:space="preserve">5</w:t>
            </w:r>
          </w:p>
        </w:tc>
      </w:tr>
      <w:tr>
        <w:tc>
          <w:tcPr>
            <w:tcW w:w="1500" w:type="dxa"/>
          </w:tcPr>
          <w:p>
            <w:r>
              <w:t xml:space="preserve">10</w:t>
            </w:r>
          </w:p>
        </w:tc>
        <w:tc>
          <w:tcPr>
            <w:tcW w:w="1500" w:type="dxa"/>
          </w:tcPr>
          <w:p>
            <w:r>
              <w:t xml:space="preserve">2</w:t>
            </w:r>
          </w:p>
        </w:tc>
        <w:tc>
          <w:tcPr>
            <w:tcW w:w="1500" w:type="dxa"/>
          </w:tcPr>
          <w:p>
            <w:r>
              <w:t xml:space="preserve">12</w:t>
            </w:r>
          </w:p>
        </w:tc>
      </w:tr>
      <w:tr>
        <w:tc>
          <w:tcPr>
            <w:tcW w:w="1500" w:type="dxa"/>
          </w:tcPr>
          <w:p>
            <w:r>
              <w:t xml:space="preserve">11</w:t>
            </w:r>
          </w:p>
        </w:tc>
        <w:tc>
          <w:tcPr>
            <w:tcW w:w="1500" w:type="dxa"/>
          </w:tcPr>
          <w:p>
            <w:r>
              <w:t xml:space="preserve">2</w:t>
            </w:r>
          </w:p>
        </w:tc>
        <w:tc>
          <w:tcPr>
            <w:tcW w:w="1500" w:type="dxa"/>
          </w:tcPr>
          <w:p>
            <w:r>
              <w:t xml:space="preserve">12</w:t>
            </w:r>
          </w:p>
        </w:tc>
      </w:tr>
      <w:tr>
        <w:tc>
          <w:tcPr>
            <w:tcW w:w="1500" w:type="dxa"/>
          </w:tcPr>
          <w:p>
            <w:r>
              <w:t xml:space="preserve">12</w:t>
            </w:r>
          </w:p>
        </w:tc>
        <w:tc>
          <w:tcPr>
            <w:tcW w:w="1500" w:type="dxa"/>
          </w:tcPr>
          <w:p>
            <w:r>
              <w:t xml:space="preserve">2</w:t>
            </w:r>
          </w:p>
        </w:tc>
        <w:tc>
          <w:tcPr>
            <w:tcW w:w="1500" w:type="dxa"/>
          </w:tcPr>
          <w:p>
            <w:r>
              <w:t xml:space="preserve">12</w:t>
            </w:r>
          </w:p>
        </w:tc>
      </w:tr>
      <w:tr>
        <w:tc>
          <w:tcPr>
            <w:tcW w:w="1500" w:type="dxa"/>
          </w:tcPr>
          <w:p>
            <w:r>
              <w:t xml:space="preserve">13</w:t>
            </w:r>
          </w:p>
        </w:tc>
        <w:tc>
          <w:tcPr>
            <w:tcW w:w="1500" w:type="dxa"/>
          </w:tcPr>
          <w:p>
            <w:r>
              <w:t xml:space="preserve">2</w:t>
            </w:r>
          </w:p>
        </w:tc>
        <w:tc>
          <w:tcPr>
            <w:tcW w:w="1500" w:type="dxa"/>
          </w:tcPr>
          <w:p>
            <w:r>
              <w:t xml:space="preserve">12</w:t>
            </w:r>
          </w:p>
        </w:tc>
      </w:tr>
      <w:tr>
        <w:tc>
          <w:tcPr>
            <w:tcW w:w="1500" w:type="dxa"/>
          </w:tcPr>
          <w:p>
            <w:r>
              <w:t xml:space="preserve">14</w:t>
            </w:r>
          </w:p>
        </w:tc>
        <w:tc>
          <w:tcPr>
            <w:tcW w:w="1500" w:type="dxa"/>
          </w:tcPr>
          <w:p>
            <w:r>
              <w:t xml:space="preserve">2</w:t>
            </w:r>
          </w:p>
        </w:tc>
        <w:tc>
          <w:tcPr>
            <w:tcW w:w="1500" w:type="dxa"/>
          </w:tcPr>
          <w:p>
            <w:r>
              <w:t xml:space="preserve">12</w:t>
            </w:r>
          </w:p>
        </w:tc>
      </w:tr>
      <w:tr>
        <w:tc>
          <w:tcPr>
            <w:tcW w:w="1500" w:type="dxa"/>
          </w:tcPr>
          <w:p>
            <w:r>
              <w:t xml:space="preserve">15</w:t>
            </w:r>
          </w:p>
        </w:tc>
        <w:tc>
          <w:tcPr>
            <w:tcW w:w="1500" w:type="dxa"/>
          </w:tcPr>
          <w:p>
            <w:r>
              <w:t xml:space="preserve">3</w:t>
            </w:r>
          </w:p>
        </w:tc>
        <w:tc>
          <w:tcPr>
            <w:tcW w:w="1500" w:type="dxa"/>
          </w:tcPr>
          <w:p>
            <w:r>
              <w:t xml:space="preserve">16.5</w:t>
            </w:r>
          </w:p>
        </w:tc>
      </w:tr>
      <w:tr>
        <w:tc>
          <w:tcPr>
            <w:tcW w:w="1500" w:type="dxa"/>
          </w:tcPr>
          <w:p>
            <w:r>
              <w:t xml:space="preserve">16</w:t>
            </w:r>
          </w:p>
        </w:tc>
        <w:tc>
          <w:tcPr>
            <w:tcW w:w="1500" w:type="dxa"/>
          </w:tcPr>
          <w:p>
            <w:r>
              <w:t xml:space="preserve">3</w:t>
            </w:r>
          </w:p>
        </w:tc>
        <w:tc>
          <w:tcPr>
            <w:tcW w:w="1500" w:type="dxa"/>
          </w:tcPr>
          <w:p>
            <w:r>
              <w:t xml:space="preserve">16.5</w:t>
            </w:r>
          </w:p>
        </w:tc>
      </w:tr>
      <w:tr>
        <w:tc>
          <w:tcPr>
            <w:tcW w:w="1500" w:type="dxa"/>
          </w:tcPr>
          <w:p>
            <w:r>
              <w:t xml:space="preserve">17</w:t>
            </w:r>
          </w:p>
        </w:tc>
        <w:tc>
          <w:tcPr>
            <w:tcW w:w="1500" w:type="dxa"/>
          </w:tcPr>
          <w:p>
            <w:r>
              <w:t xml:space="preserve">3</w:t>
            </w:r>
          </w:p>
        </w:tc>
        <w:tc>
          <w:tcPr>
            <w:tcW w:w="1500" w:type="dxa"/>
          </w:tcPr>
          <w:p>
            <w:r>
              <w:t xml:space="preserve">16.5</w:t>
            </w:r>
          </w:p>
        </w:tc>
      </w:tr>
      <w:tr>
        <w:tc>
          <w:tcPr>
            <w:tcW w:w="1500" w:type="dxa"/>
          </w:tcPr>
          <w:p>
            <w:r>
              <w:t xml:space="preserve">18</w:t>
            </w:r>
          </w:p>
        </w:tc>
        <w:tc>
          <w:tcPr>
            <w:tcW w:w="1500" w:type="dxa"/>
          </w:tcPr>
          <w:p>
            <w:r>
              <w:t xml:space="preserve">3</w:t>
            </w:r>
          </w:p>
        </w:tc>
        <w:tc>
          <w:tcPr>
            <w:tcW w:w="1500" w:type="dxa"/>
          </w:tcPr>
          <w:p>
            <w:r>
              <w:t xml:space="preserve">16.5</w:t>
            </w:r>
          </w:p>
        </w:tc>
      </w:tr>
      <w:tr>
        <w:tc>
          <w:tcPr>
            <w:tcW w:w="1500" w:type="dxa"/>
          </w:tcPr>
          <w:p>
            <w:r>
              <w:t xml:space="preserve">19</w:t>
            </w:r>
          </w:p>
        </w:tc>
        <w:tc>
          <w:tcPr>
            <w:tcW w:w="1500" w:type="dxa"/>
          </w:tcPr>
          <w:p>
            <w:r>
              <w:t xml:space="preserve">4</w:t>
            </w:r>
          </w:p>
        </w:tc>
        <w:tc>
          <w:tcPr>
            <w:tcW w:w="1500" w:type="dxa"/>
          </w:tcPr>
          <w:p>
            <w:r>
              <w:t xml:space="preserve">19</w:t>
            </w:r>
          </w:p>
        </w:tc>
      </w:tr>
      <w:tr>
        <w:tc>
          <w:tcPr>
            <w:tcW w:w="1500" w:type="dxa"/>
          </w:tcPr>
          <w:p>
            <w:r>
              <w:t xml:space="preserve">20</w:t>
            </w:r>
          </w:p>
        </w:tc>
        <w:tc>
          <w:tcPr>
            <w:tcW w:w="1500" w:type="dxa"/>
          </w:tcPr>
          <w:p>
            <w:r>
              <w:t xml:space="preserve">6</w:t>
            </w:r>
          </w:p>
        </w:tc>
        <w:tc>
          <w:tcPr>
            <w:tcW w:w="1500" w:type="dxa"/>
          </w:tcPr>
          <w:p>
            <w:r>
              <w:t xml:space="preserve">20</w:t>
            </w:r>
          </w:p>
        </w:tc>
      </w:tr>
    </w:tbl>
    <w:p>
      <w:pPr>
        <w:pStyle w:val="pStyle"/>
      </w:pPr>
      <w:r>
        <w:t xml:space="preserve">Гипотезы.</w:t>
      </w:r>
    </w:p>
    <w:p>
      <w:pPr>
        <w:pStyle w:val="pStyle"/>
      </w:pPr>
      <w:r>
        <w:t xml:space="preserve">H</w:t>
      </w:r>
      <w:r>
        <w:rPr>
          <w:vertAlign w:val="subscript"/>
        </w:rPr>
        <w:t>0</w:t>
      </w:r>
      <w:r>
        <w:t xml:space="preserve">: Показатели после проведения опыта превышают значения показателей до эксперимента.</w:t>
      </w:r>
    </w:p>
    <w:p>
      <w:pPr>
        <w:pStyle w:val="pStyle"/>
      </w:pPr>
      <w:r>
        <w:t xml:space="preserve">H</w:t>
      </w:r>
      <w:r>
        <w:rPr>
          <w:vertAlign w:val="subscript"/>
        </w:rPr>
        <w:t>1</w:t>
      </w:r>
      <w:r>
        <w:t xml:space="preserve">: Показатели после проведения опыта меньше значений показателей до эксперимента.</w:t>
      </w:r>
    </w:p>
    <w:tbl>
      <w:tblPr>
        <w:tblStyle w:val="myOwnTableStyle"/>
        <w:jc w:val="center"/>
      </w:tblPr>
      <w:tr>
        <w:tc>
          <w:tcPr>
            <w:tcW w:w="2000" w:type="dxa"/>
          </w:tcPr>
          <w:p>
            <w:r>
              <w:t xml:space="preserve">До измерения, t</w:t>
            </w:r>
            <w:r>
              <w:rPr>
                <w:vertAlign w:val="subscript"/>
              </w:rPr>
              <w:t>до</w:t>
            </w:r>
          </w:p>
        </w:tc>
        <w:tc>
          <w:tcPr>
            <w:tcW w:w="2000" w:type="dxa"/>
          </w:tcPr>
          <w:p>
            <w:r>
              <w:t xml:space="preserve">После измерения, t</w:t>
            </w:r>
            <w:r>
              <w:rPr>
                <w:vertAlign w:val="subscript"/>
              </w:rPr>
              <w:t>после</w:t>
            </w:r>
          </w:p>
        </w:tc>
        <w:tc>
          <w:tcPr>
            <w:tcW w:w="2000" w:type="dxa"/>
          </w:tcPr>
          <w:p>
            <w:r>
              <w:t xml:space="preserve">Разность (t</w:t>
            </w:r>
            <w:r>
              <w:rPr>
                <w:vertAlign w:val="subscript"/>
              </w:rPr>
              <w:t>до</w:t>
            </w:r>
            <w:r>
              <w:t xml:space="preserve">-t</w:t>
            </w:r>
            <w:r>
              <w:rPr>
                <w:vertAlign w:val="subscript"/>
              </w:rPr>
              <w:t>после</w:t>
            </w:r>
            <w:r>
              <w:t xml:space="preserve">)</w:t>
            </w:r>
          </w:p>
        </w:tc>
        <w:tc>
          <w:tcPr>
            <w:tcW w:w="2000" w:type="dxa"/>
          </w:tcPr>
          <w:p>
            <w:r>
              <w:t xml:space="preserve">Абсолютное значение разности</w:t>
            </w:r>
          </w:p>
        </w:tc>
        <w:tc>
          <w:tcPr>
            <w:tcW w:w="2000" w:type="dxa"/>
          </w:tcPr>
          <w:p>
            <w:r>
              <w:t xml:space="preserve">Ранговый номер разности</w:t>
            </w:r>
          </w:p>
        </w:tc>
      </w:tr>
      <w:tr>
        <w:tc>
          <w:tcPr>
            <w:tcW w:w="2000" w:type="dxa"/>
          </w:tcPr>
          <w:p>
            <w:r>
              <w:t xml:space="preserve">16</w:t>
            </w:r>
          </w:p>
        </w:tc>
        <w:tc>
          <w:tcPr>
            <w:tcW w:w="2000" w:type="dxa"/>
          </w:tcPr>
          <w:p>
            <w:r>
              <w:t xml:space="preserve">17</w:t>
            </w:r>
          </w:p>
        </w:tc>
        <w:tc>
          <w:tcPr>
            <w:tcW w:w="2000" w:type="dxa"/>
          </w:tcPr>
          <w:p>
            <w:r>
              <w:t xml:space="preserve">1</w:t>
            </w:r>
          </w:p>
        </w:tc>
        <w:tc>
          <w:tcPr>
            <w:tcW w:w="2000" w:type="dxa"/>
          </w:tcPr>
          <w:p>
            <w:r>
              <w:t xml:space="preserve">1</w:t>
            </w:r>
          </w:p>
        </w:tc>
        <w:tc>
          <w:tcPr>
            <w:tcW w:w="2000" w:type="dxa"/>
          </w:tcPr>
          <w:p>
            <w:r>
              <w:t xml:space="preserve">5</w:t>
            </w:r>
          </w:p>
        </w:tc>
      </w:tr>
      <w:tr>
        <w:tc>
          <w:tcPr>
            <w:tcW w:w="2000" w:type="dxa"/>
          </w:tcPr>
          <w:p>
            <w:r>
              <w:t xml:space="preserve">17</w:t>
            </w:r>
          </w:p>
        </w:tc>
        <w:tc>
          <w:tcPr>
            <w:tcW w:w="2000" w:type="dxa"/>
          </w:tcPr>
          <w:p>
            <w:r>
              <w:t xml:space="preserve">18</w:t>
            </w:r>
          </w:p>
        </w:tc>
        <w:tc>
          <w:tcPr>
            <w:tcW w:w="2000" w:type="dxa"/>
          </w:tcPr>
          <w:p>
            <w:r>
              <w:t xml:space="preserve">1</w:t>
            </w:r>
          </w:p>
        </w:tc>
        <w:tc>
          <w:tcPr>
            <w:tcW w:w="2000" w:type="dxa"/>
          </w:tcPr>
          <w:p>
            <w:r>
              <w:t xml:space="preserve">1</w:t>
            </w:r>
          </w:p>
        </w:tc>
        <w:tc>
          <w:tcPr>
            <w:tcW w:w="2000" w:type="dxa"/>
          </w:tcPr>
          <w:p>
            <w:r>
              <w:t xml:space="preserve">5</w:t>
            </w:r>
          </w:p>
        </w:tc>
      </w:tr>
      <w:tr>
        <w:tc>
          <w:tcPr>
            <w:tcW w:w="2000" w:type="dxa"/>
          </w:tcPr>
          <w:p>
            <w:r>
              <w:t xml:space="preserve">30</w:t>
            </w:r>
          </w:p>
        </w:tc>
        <w:tc>
          <w:tcPr>
            <w:tcW w:w="2000" w:type="dxa"/>
          </w:tcPr>
          <w:p>
            <w:r>
              <w:t xml:space="preserve">36</w:t>
            </w:r>
          </w:p>
        </w:tc>
        <w:tc>
          <w:tcPr>
            <w:tcW w:w="2000" w:type="dxa"/>
          </w:tcPr>
          <w:p>
            <w:r>
              <w:t xml:space="preserve">6</w:t>
            </w:r>
          </w:p>
        </w:tc>
        <w:tc>
          <w:tcPr>
            <w:tcW w:w="2000" w:type="dxa"/>
          </w:tcPr>
          <w:p>
            <w:r>
              <w:t xml:space="preserve">6</w:t>
            </w:r>
          </w:p>
        </w:tc>
        <w:tc>
          <w:tcPr>
            <w:tcW w:w="2000" w:type="dxa"/>
          </w:tcPr>
          <w:p>
            <w:r>
              <w:t xml:space="preserve">20</w:t>
            </w:r>
          </w:p>
        </w:tc>
      </w:tr>
      <w:tr>
        <w:tc>
          <w:tcPr>
            <w:tcW w:w="2000" w:type="dxa"/>
          </w:tcPr>
          <w:p>
            <w:r>
              <w:t xml:space="preserve">23</w:t>
            </w:r>
          </w:p>
        </w:tc>
        <w:tc>
          <w:tcPr>
            <w:tcW w:w="2000" w:type="dxa"/>
          </w:tcPr>
          <w:p>
            <w:r>
              <w:t xml:space="preserve">24</w:t>
            </w:r>
          </w:p>
        </w:tc>
        <w:tc>
          <w:tcPr>
            <w:tcW w:w="2000" w:type="dxa"/>
          </w:tcPr>
          <w:p>
            <w:r>
              <w:t xml:space="preserve">1</w:t>
            </w:r>
          </w:p>
        </w:tc>
        <w:tc>
          <w:tcPr>
            <w:tcW w:w="2000" w:type="dxa"/>
          </w:tcPr>
          <w:p>
            <w:r>
              <w:t xml:space="preserve">1</w:t>
            </w:r>
          </w:p>
        </w:tc>
        <w:tc>
          <w:tcPr>
            <w:tcW w:w="2000" w:type="dxa"/>
          </w:tcPr>
          <w:p>
            <w:r>
              <w:t xml:space="preserve">5</w:t>
            </w:r>
          </w:p>
        </w:tc>
      </w:tr>
      <w:tr>
        <w:tc>
          <w:tcPr>
            <w:tcW w:w="2000" w:type="dxa"/>
          </w:tcPr>
          <w:p>
            <w:r>
              <w:t xml:space="preserve">37</w:t>
            </w:r>
          </w:p>
        </w:tc>
        <w:tc>
          <w:tcPr>
            <w:tcW w:w="2000" w:type="dxa"/>
          </w:tcPr>
          <w:p>
            <w:r>
              <w:t xml:space="preserve">40</w:t>
            </w:r>
          </w:p>
        </w:tc>
        <w:tc>
          <w:tcPr>
            <w:tcW w:w="2000" w:type="dxa"/>
          </w:tcPr>
          <w:p>
            <w:r>
              <w:t xml:space="preserve">3</w:t>
            </w:r>
          </w:p>
        </w:tc>
        <w:tc>
          <w:tcPr>
            <w:tcW w:w="2000" w:type="dxa"/>
          </w:tcPr>
          <w:p>
            <w:r>
              <w:t xml:space="preserve">3</w:t>
            </w:r>
          </w:p>
        </w:tc>
        <w:tc>
          <w:tcPr>
            <w:tcW w:w="2000" w:type="dxa"/>
          </w:tcPr>
          <w:p>
            <w:r>
              <w:t xml:space="preserve">16.5</w:t>
            </w:r>
          </w:p>
        </w:tc>
      </w:tr>
      <w:tr>
        <w:tc>
          <w:tcPr>
            <w:tcW w:w="2000" w:type="dxa"/>
          </w:tcPr>
          <w:p>
            <w:r>
              <w:t xml:space="preserve">21</w:t>
            </w:r>
          </w:p>
        </w:tc>
        <w:tc>
          <w:tcPr>
            <w:tcW w:w="2000" w:type="dxa"/>
          </w:tcPr>
          <w:p>
            <w:r>
              <w:t xml:space="preserve">22</w:t>
            </w:r>
          </w:p>
        </w:tc>
        <w:tc>
          <w:tcPr>
            <w:tcW w:w="2000" w:type="dxa"/>
          </w:tcPr>
          <w:p>
            <w:r>
              <w:t xml:space="preserve">1</w:t>
            </w:r>
          </w:p>
        </w:tc>
        <w:tc>
          <w:tcPr>
            <w:tcW w:w="2000" w:type="dxa"/>
          </w:tcPr>
          <w:p>
            <w:r>
              <w:t xml:space="preserve">1</w:t>
            </w:r>
          </w:p>
        </w:tc>
        <w:tc>
          <w:tcPr>
            <w:tcW w:w="2000" w:type="dxa"/>
          </w:tcPr>
          <w:p>
            <w:r>
              <w:t xml:space="preserve">5</w:t>
            </w:r>
          </w:p>
        </w:tc>
      </w:tr>
      <w:tr>
        <w:tc>
          <w:tcPr>
            <w:tcW w:w="2000" w:type="dxa"/>
          </w:tcPr>
          <w:p>
            <w:r>
              <w:t xml:space="preserve">7</w:t>
            </w:r>
          </w:p>
        </w:tc>
        <w:tc>
          <w:tcPr>
            <w:tcW w:w="2000" w:type="dxa"/>
          </w:tcPr>
          <w:p>
            <w:r>
              <w:t xml:space="preserve">6</w:t>
            </w:r>
          </w:p>
        </w:tc>
        <w:tc>
          <w:tcPr>
            <w:tcW w:w="2000" w:type="dxa"/>
          </w:tcPr>
          <w:p>
            <w:r>
              <w:rPr>
                <w:b/>
              </w:rPr>
              <w:t>-1</w:t>
            </w:r>
          </w:p>
        </w:tc>
        <w:tc>
          <w:tcPr>
            <w:tcW w:w="2000" w:type="dxa"/>
          </w:tcPr>
          <w:p>
            <w:r>
              <w:t xml:space="preserve">1</w:t>
            </w:r>
          </w:p>
        </w:tc>
        <w:tc>
          <w:tcPr>
            <w:tcW w:w="2000" w:type="dxa"/>
          </w:tcPr>
          <w:p>
            <w:r>
              <w:rPr>
                <w:b/>
              </w:rPr>
              <w:t>5</w:t>
            </w:r>
          </w:p>
        </w:tc>
      </w:tr>
      <w:tr>
        <w:tc>
          <w:tcPr>
            <w:tcW w:w="2000" w:type="dxa"/>
          </w:tcPr>
          <w:p>
            <w:r>
              <w:t xml:space="preserve">11</w:t>
            </w:r>
          </w:p>
        </w:tc>
        <w:tc>
          <w:tcPr>
            <w:tcW w:w="2000" w:type="dxa"/>
          </w:tcPr>
          <w:p>
            <w:r>
              <w:t xml:space="preserve">14</w:t>
            </w:r>
          </w:p>
        </w:tc>
        <w:tc>
          <w:tcPr>
            <w:tcW w:w="2000" w:type="dxa"/>
          </w:tcPr>
          <w:p>
            <w:r>
              <w:t xml:space="preserve">3</w:t>
            </w:r>
          </w:p>
        </w:tc>
        <w:tc>
          <w:tcPr>
            <w:tcW w:w="2000" w:type="dxa"/>
          </w:tcPr>
          <w:p>
            <w:r>
              <w:t xml:space="preserve">3</w:t>
            </w:r>
          </w:p>
        </w:tc>
        <w:tc>
          <w:tcPr>
            <w:tcW w:w="2000" w:type="dxa"/>
          </w:tcPr>
          <w:p>
            <w:r>
              <w:t xml:space="preserve">16.5</w:t>
            </w:r>
          </w:p>
        </w:tc>
      </w:tr>
      <w:tr>
        <w:tc>
          <w:tcPr>
            <w:tcW w:w="2000" w:type="dxa"/>
          </w:tcPr>
          <w:p>
            <w:r>
              <w:t xml:space="preserve">8</w:t>
            </w:r>
          </w:p>
        </w:tc>
        <w:tc>
          <w:tcPr>
            <w:tcW w:w="2000" w:type="dxa"/>
          </w:tcPr>
          <w:p>
            <w:r>
              <w:t xml:space="preserve">7</w:t>
            </w:r>
          </w:p>
        </w:tc>
        <w:tc>
          <w:tcPr>
            <w:tcW w:w="2000" w:type="dxa"/>
          </w:tcPr>
          <w:p>
            <w:r>
              <w:rPr>
                <w:b/>
              </w:rPr>
              <w:t>-1</w:t>
            </w:r>
          </w:p>
        </w:tc>
        <w:tc>
          <w:tcPr>
            <w:tcW w:w="2000" w:type="dxa"/>
          </w:tcPr>
          <w:p>
            <w:r>
              <w:t xml:space="preserve">1</w:t>
            </w:r>
          </w:p>
        </w:tc>
        <w:tc>
          <w:tcPr>
            <w:tcW w:w="2000" w:type="dxa"/>
          </w:tcPr>
          <w:p>
            <w:r>
              <w:rPr>
                <w:b/>
              </w:rPr>
              <w:t>5</w:t>
            </w:r>
          </w:p>
        </w:tc>
      </w:tr>
      <w:tr>
        <w:tc>
          <w:tcPr>
            <w:tcW w:w="2000" w:type="dxa"/>
          </w:tcPr>
          <w:p>
            <w:r>
              <w:t xml:space="preserve">7</w:t>
            </w:r>
          </w:p>
        </w:tc>
        <w:tc>
          <w:tcPr>
            <w:tcW w:w="2000" w:type="dxa"/>
          </w:tcPr>
          <w:p>
            <w:r>
              <w:t xml:space="preserve">9</w:t>
            </w:r>
          </w:p>
        </w:tc>
        <w:tc>
          <w:tcPr>
            <w:tcW w:w="2000" w:type="dxa"/>
          </w:tcPr>
          <w:p>
            <w:r>
              <w:t xml:space="preserve">2</w:t>
            </w:r>
          </w:p>
        </w:tc>
        <w:tc>
          <w:tcPr>
            <w:tcW w:w="2000" w:type="dxa"/>
          </w:tcPr>
          <w:p>
            <w:r>
              <w:t xml:space="preserve">2</w:t>
            </w:r>
          </w:p>
        </w:tc>
        <w:tc>
          <w:tcPr>
            <w:tcW w:w="2000" w:type="dxa"/>
          </w:tcPr>
          <w:p>
            <w:r>
              <w:t xml:space="preserve">12</w:t>
            </w:r>
          </w:p>
        </w:tc>
      </w:tr>
      <w:tr>
        <w:tc>
          <w:tcPr>
            <w:tcW w:w="2000" w:type="dxa"/>
          </w:tcPr>
          <w:p>
            <w:r>
              <w:t xml:space="preserve">12</w:t>
            </w:r>
          </w:p>
        </w:tc>
        <w:tc>
          <w:tcPr>
            <w:tcW w:w="2000" w:type="dxa"/>
          </w:tcPr>
          <w:p>
            <w:r>
              <w:t xml:space="preserve">15</w:t>
            </w:r>
          </w:p>
        </w:tc>
        <w:tc>
          <w:tcPr>
            <w:tcW w:w="2000" w:type="dxa"/>
          </w:tcPr>
          <w:p>
            <w:r>
              <w:t xml:space="preserve">3</w:t>
            </w:r>
          </w:p>
        </w:tc>
        <w:tc>
          <w:tcPr>
            <w:tcW w:w="2000" w:type="dxa"/>
          </w:tcPr>
          <w:p>
            <w:r>
              <w:t xml:space="preserve">3</w:t>
            </w:r>
          </w:p>
        </w:tc>
        <w:tc>
          <w:tcPr>
            <w:tcW w:w="2000" w:type="dxa"/>
          </w:tcPr>
          <w:p>
            <w:r>
              <w:t xml:space="preserve">16.5</w:t>
            </w:r>
          </w:p>
        </w:tc>
      </w:tr>
      <w:tr>
        <w:tc>
          <w:tcPr>
            <w:tcW w:w="2000" w:type="dxa"/>
          </w:tcPr>
          <w:p>
            <w:r>
              <w:t xml:space="preserve">27</w:t>
            </w:r>
          </w:p>
        </w:tc>
        <w:tc>
          <w:tcPr>
            <w:tcW w:w="2000" w:type="dxa"/>
          </w:tcPr>
          <w:p>
            <w:r>
              <w:t xml:space="preserve">29</w:t>
            </w:r>
          </w:p>
        </w:tc>
        <w:tc>
          <w:tcPr>
            <w:tcW w:w="2000" w:type="dxa"/>
          </w:tcPr>
          <w:p>
            <w:r>
              <w:t xml:space="preserve">2</w:t>
            </w:r>
          </w:p>
        </w:tc>
        <w:tc>
          <w:tcPr>
            <w:tcW w:w="2000" w:type="dxa"/>
          </w:tcPr>
          <w:p>
            <w:r>
              <w:t xml:space="preserve">2</w:t>
            </w:r>
          </w:p>
        </w:tc>
        <w:tc>
          <w:tcPr>
            <w:tcW w:w="2000" w:type="dxa"/>
          </w:tcPr>
          <w:p>
            <w:r>
              <w:t xml:space="preserve">12</w:t>
            </w:r>
          </w:p>
        </w:tc>
      </w:tr>
      <w:tr>
        <w:tc>
          <w:tcPr>
            <w:tcW w:w="2000" w:type="dxa"/>
          </w:tcPr>
          <w:p>
            <w:r>
              <w:t xml:space="preserve">14</w:t>
            </w:r>
          </w:p>
        </w:tc>
        <w:tc>
          <w:tcPr>
            <w:tcW w:w="2000" w:type="dxa"/>
          </w:tcPr>
          <w:p>
            <w:r>
              <w:t xml:space="preserve">16</w:t>
            </w:r>
          </w:p>
        </w:tc>
        <w:tc>
          <w:tcPr>
            <w:tcW w:w="2000" w:type="dxa"/>
          </w:tcPr>
          <w:p>
            <w:r>
              <w:t xml:space="preserve">2</w:t>
            </w:r>
          </w:p>
        </w:tc>
        <w:tc>
          <w:tcPr>
            <w:tcW w:w="2000" w:type="dxa"/>
          </w:tcPr>
          <w:p>
            <w:r>
              <w:t xml:space="preserve">2</w:t>
            </w:r>
          </w:p>
        </w:tc>
        <w:tc>
          <w:tcPr>
            <w:tcW w:w="2000" w:type="dxa"/>
          </w:tcPr>
          <w:p>
            <w:r>
              <w:t xml:space="preserve">12</w:t>
            </w:r>
          </w:p>
        </w:tc>
      </w:tr>
      <w:tr>
        <w:tc>
          <w:tcPr>
            <w:tcW w:w="2000" w:type="dxa"/>
          </w:tcPr>
          <w:p>
            <w:r>
              <w:t xml:space="preserve">17</w:t>
            </w:r>
          </w:p>
        </w:tc>
        <w:tc>
          <w:tcPr>
            <w:tcW w:w="2000" w:type="dxa"/>
          </w:tcPr>
          <w:p>
            <w:r>
              <w:t xml:space="preserve">16</w:t>
            </w:r>
          </w:p>
        </w:tc>
        <w:tc>
          <w:tcPr>
            <w:tcW w:w="2000" w:type="dxa"/>
          </w:tcPr>
          <w:p>
            <w:r>
              <w:rPr>
                <w:b/>
              </w:rPr>
              <w:t>-1</w:t>
            </w:r>
          </w:p>
        </w:tc>
        <w:tc>
          <w:tcPr>
            <w:tcW w:w="2000" w:type="dxa"/>
          </w:tcPr>
          <w:p>
            <w:r>
              <w:t xml:space="preserve">1</w:t>
            </w:r>
          </w:p>
        </w:tc>
        <w:tc>
          <w:tcPr>
            <w:tcW w:w="2000" w:type="dxa"/>
          </w:tcPr>
          <w:p>
            <w:r>
              <w:rPr>
                <w:b/>
              </w:rPr>
              <w:t>5</w:t>
            </w:r>
          </w:p>
        </w:tc>
      </w:tr>
      <w:tr>
        <w:tc>
          <w:tcPr>
            <w:tcW w:w="2000" w:type="dxa"/>
          </w:tcPr>
          <w:p>
            <w:r>
              <w:t xml:space="preserve">19</w:t>
            </w:r>
          </w:p>
        </w:tc>
        <w:tc>
          <w:tcPr>
            <w:tcW w:w="2000" w:type="dxa"/>
          </w:tcPr>
          <w:p>
            <w:r>
              <w:t xml:space="preserve">21</w:t>
            </w:r>
          </w:p>
        </w:tc>
        <w:tc>
          <w:tcPr>
            <w:tcW w:w="2000" w:type="dxa"/>
          </w:tcPr>
          <w:p>
            <w:r>
              <w:t xml:space="preserve">2</w:t>
            </w:r>
          </w:p>
        </w:tc>
        <w:tc>
          <w:tcPr>
            <w:tcW w:w="2000" w:type="dxa"/>
          </w:tcPr>
          <w:p>
            <w:r>
              <w:t xml:space="preserve">2</w:t>
            </w:r>
          </w:p>
        </w:tc>
        <w:tc>
          <w:tcPr>
            <w:tcW w:w="2000" w:type="dxa"/>
          </w:tcPr>
          <w:p>
            <w:r>
              <w:t xml:space="preserve">12</w:t>
            </w:r>
          </w:p>
        </w:tc>
      </w:tr>
      <w:tr>
        <w:tc>
          <w:tcPr>
            <w:tcW w:w="2000" w:type="dxa"/>
          </w:tcPr>
          <w:p>
            <w:r>
              <w:t xml:space="preserve">20</w:t>
            </w:r>
          </w:p>
        </w:tc>
        <w:tc>
          <w:tcPr>
            <w:tcW w:w="2000" w:type="dxa"/>
          </w:tcPr>
          <w:p>
            <w:r>
              <w:t xml:space="preserve">21</w:t>
            </w:r>
          </w:p>
        </w:tc>
        <w:tc>
          <w:tcPr>
            <w:tcW w:w="2000" w:type="dxa"/>
          </w:tcPr>
          <w:p>
            <w:r>
              <w:t xml:space="preserve">1</w:t>
            </w:r>
          </w:p>
        </w:tc>
        <w:tc>
          <w:tcPr>
            <w:tcW w:w="2000" w:type="dxa"/>
          </w:tcPr>
          <w:p>
            <w:r>
              <w:t xml:space="preserve">1</w:t>
            </w:r>
          </w:p>
        </w:tc>
        <w:tc>
          <w:tcPr>
            <w:tcW w:w="2000" w:type="dxa"/>
          </w:tcPr>
          <w:p>
            <w:r>
              <w:t xml:space="preserve">5</w:t>
            </w:r>
          </w:p>
        </w:tc>
      </w:tr>
      <w:tr>
        <w:tc>
          <w:tcPr>
            <w:tcW w:w="2000" w:type="dxa"/>
          </w:tcPr>
          <w:p>
            <w:r>
              <w:t xml:space="preserve">21</w:t>
            </w:r>
          </w:p>
        </w:tc>
        <w:tc>
          <w:tcPr>
            <w:tcW w:w="2000" w:type="dxa"/>
          </w:tcPr>
          <w:p>
            <w:r>
              <w:t xml:space="preserve">22</w:t>
            </w:r>
          </w:p>
        </w:tc>
        <w:tc>
          <w:tcPr>
            <w:tcW w:w="2000" w:type="dxa"/>
          </w:tcPr>
          <w:p>
            <w:r>
              <w:t xml:space="preserve">1</w:t>
            </w:r>
          </w:p>
        </w:tc>
        <w:tc>
          <w:tcPr>
            <w:tcW w:w="2000" w:type="dxa"/>
          </w:tcPr>
          <w:p>
            <w:r>
              <w:t xml:space="preserve">1</w:t>
            </w:r>
          </w:p>
        </w:tc>
        <w:tc>
          <w:tcPr>
            <w:tcW w:w="2000" w:type="dxa"/>
          </w:tcPr>
          <w:p>
            <w:r>
              <w:t xml:space="preserve">5</w:t>
            </w:r>
          </w:p>
        </w:tc>
      </w:tr>
      <w:tr>
        <w:tc>
          <w:tcPr>
            <w:tcW w:w="2000" w:type="dxa"/>
          </w:tcPr>
          <w:p>
            <w:r>
              <w:t xml:space="preserve">20</w:t>
            </w:r>
          </w:p>
        </w:tc>
        <w:tc>
          <w:tcPr>
            <w:tcW w:w="2000" w:type="dxa"/>
          </w:tcPr>
          <w:p>
            <w:r>
              <w:t xml:space="preserve">23</w:t>
            </w:r>
          </w:p>
        </w:tc>
        <w:tc>
          <w:tcPr>
            <w:tcW w:w="2000" w:type="dxa"/>
          </w:tcPr>
          <w:p>
            <w:r>
              <w:t xml:space="preserve">3</w:t>
            </w:r>
          </w:p>
        </w:tc>
        <w:tc>
          <w:tcPr>
            <w:tcW w:w="2000" w:type="dxa"/>
          </w:tcPr>
          <w:p>
            <w:r>
              <w:t xml:space="preserve">3</w:t>
            </w:r>
          </w:p>
        </w:tc>
        <w:tc>
          <w:tcPr>
            <w:tcW w:w="2000" w:type="dxa"/>
          </w:tcPr>
          <w:p>
            <w:r>
              <w:t xml:space="preserve">16.5</w:t>
            </w:r>
          </w:p>
        </w:tc>
      </w:tr>
      <w:tr>
        <w:tc>
          <w:tcPr>
            <w:tcW w:w="2000" w:type="dxa"/>
          </w:tcPr>
          <w:p>
            <w:r>
              <w:t xml:space="preserve">14</w:t>
            </w:r>
          </w:p>
        </w:tc>
        <w:tc>
          <w:tcPr>
            <w:tcW w:w="2000" w:type="dxa"/>
          </w:tcPr>
          <w:p>
            <w:r>
              <w:t xml:space="preserve">16</w:t>
            </w:r>
          </w:p>
        </w:tc>
        <w:tc>
          <w:tcPr>
            <w:tcW w:w="2000" w:type="dxa"/>
          </w:tcPr>
          <w:p>
            <w:r>
              <w:t xml:space="preserve">2</w:t>
            </w:r>
          </w:p>
        </w:tc>
        <w:tc>
          <w:tcPr>
            <w:tcW w:w="2000" w:type="dxa"/>
          </w:tcPr>
          <w:p>
            <w:r>
              <w:t xml:space="preserve">2</w:t>
            </w:r>
          </w:p>
        </w:tc>
        <w:tc>
          <w:tcPr>
            <w:tcW w:w="2000" w:type="dxa"/>
          </w:tcPr>
          <w:p>
            <w:r>
              <w:t xml:space="preserve">12</w:t>
            </w:r>
          </w:p>
        </w:tc>
      </w:tr>
      <w:tr>
        <w:tc>
          <w:tcPr>
            <w:tcW w:w="2000" w:type="dxa"/>
          </w:tcPr>
          <w:p>
            <w:r>
              <w:t xml:space="preserve">12</w:t>
            </w:r>
          </w:p>
        </w:tc>
        <w:tc>
          <w:tcPr>
            <w:tcW w:w="2000" w:type="dxa"/>
          </w:tcPr>
          <w:p>
            <w:r>
              <w:t xml:space="preserve">16</w:t>
            </w:r>
          </w:p>
        </w:tc>
        <w:tc>
          <w:tcPr>
            <w:tcW w:w="2000" w:type="dxa"/>
          </w:tcPr>
          <w:p>
            <w:r>
              <w:t xml:space="preserve">4</w:t>
            </w:r>
          </w:p>
        </w:tc>
        <w:tc>
          <w:tcPr>
            <w:tcW w:w="2000" w:type="dxa"/>
          </w:tcPr>
          <w:p>
            <w:r>
              <w:t xml:space="preserve">4</w:t>
            </w:r>
          </w:p>
        </w:tc>
        <w:tc>
          <w:tcPr>
            <w:tcW w:w="2000" w:type="dxa"/>
          </w:tcPr>
          <w:p>
            <w:r>
              <w:t xml:space="preserve">19</w:t>
            </w:r>
          </w:p>
        </w:tc>
      </w:tr>
      <w:tr>
        <w:tc>
          <w:tcPr>
            <w:tcW w:w="2000" w:type="dxa"/>
          </w:tcPr>
          <w:p>
            <w:r>
              <w:t xml:space="preserve">Сумма</w:t>
            </w:r>
          </w:p>
        </w:tc>
        <w:tc>
          <w:tcPr>
            <w:tcW w:w="2000" w:type="dxa"/>
          </w:tcPr>
          <w:p/>
        </w:tc>
        <w:tc>
          <w:tcPr>
            <w:tcW w:w="2000" w:type="dxa"/>
          </w:tcPr>
          <w:p>
            <w:r>
              <w:t xml:space="preserve"> </w:t>
            </w:r>
          </w:p>
        </w:tc>
        <w:tc>
          <w:tcPr>
            <w:tcW w:w="2000" w:type="dxa"/>
          </w:tcPr>
          <w:p>
            <w:r>
              <w:t xml:space="preserve"> </w:t>
            </w:r>
          </w:p>
        </w:tc>
        <w:tc>
          <w:tcPr>
            <w:tcW w:w="2000" w:type="dxa"/>
          </w:tcPr>
          <w:p>
            <w:r>
              <w:t xml:space="preserve">210</w:t>
            </w:r>
          </w:p>
        </w:tc>
      </w:tr>
    </w:tbl>
    <w:p>
      <w:pPr>
        <w:pStyle w:val="pStyle"/>
      </w:pPr>
      <w:r>
        <w:t xml:space="preserve">Сумма по столбцу рангов равна ∑=210</w:t>
      </w:r>
    </w:p>
    <w:p>
      <w:pPr>
        <w:pStyle w:val="pStyle"/>
      </w:pPr>
      <w:r>
        <w:t xml:space="preserve">Проверка правильности составления матрицы на основе исчисления контрольной суммы:</w:t>
      </w:r>
    </w:p>
    <w:p>
      <m:oMathPara>
        <m:oMath>
          <m:nary>
            <m:naryPr>
              <m:chr m:val="∑"/>
              <m:limLoc m:val="undOvr"/>
              <m:subHide m:val="1"/>
              <m:supHide m:val="1"/>
            </m:naryPr>
            <m:sub/>
            <m:sup/>
            <m:e>
              <m:sSub>
                <m:e>
                  <m:r>
                    <m:t>x</m:t>
                  </m:r>
                </m:e>
                <m:sub>
                  <m:r>
                    <m:t>ij</m:t>
                  </m:r>
                </m:sub>
              </m:sSub>
            </m:e>
          </m:nary>
          <m:r>
            <m:t> = </m:t>
          </m:r>
          <m:f>
            <m:num>
              <m:r>
                <m:t>(1+n)n</m:t>
              </m:r>
            </m:num>
            <m:den>
              <m:r>
                <m:t>2</m:t>
              </m:r>
            </m:den>
          </m:f>
          <m:r>
            <m:t> = </m:t>
          </m:r>
          <m:f>
            <m:num>
              <m:r>
                <m:t>(1+20)20</m:t>
              </m:r>
            </m:num>
            <m:den>
              <m:r>
                <m:t>2</m:t>
              </m:r>
            </m:den>
          </m:f>
          <m:r>
            <m:t> = 210</m:t>
          </m:r>
        </m:oMath>
      </m:oMathPara>
    </w:p>
    <w:p>
      <w:pPr>
        <w:pStyle w:val="pStyle"/>
      </w:pPr>
      <w:r>
        <w:t xml:space="preserve">Сумма по столбцу и контрольная сумма равны между собой, значит, ранжирование проведено правильно.</w:t>
      </w:r>
    </w:p>
    <w:p>
      <w:pPr>
        <w:pStyle w:val="pStyle"/>
      </w:pPr>
      <w:r>
        <w:t xml:space="preserve">Теперь отметим те направления, которые являются нетипичными, в данном случае – отрицательными. В Таблице эти направления и соответствующие им ранги выделены цветом. Сумма рангов этих «редких» направлений составляет эмпирическое значение критерия Т:</w:t>
      </w:r>
    </w:p>
    <w:p>
      <m:oMathPara>
        <m:oMath>
          <m:r>
            <m:t>T</m:t>
          </m:r>
        </m:oMath>
      </m:oMathPara>
      <m:oMathPara>
        <m:oMath>
          <m:r>
            <m:t>=</m:t>
          </m:r>
        </m:oMath>
      </m:oMathPara>
      <m:oMathPara>
        <m:oMath>
          <m:nary>
            <m:naryPr>
              <m:chr m:val="∑"/>
              <m:ctrlPr>
                <w:rPr/>
              </m:ctrlPr>
            </m:naryPr>
            <m:sub>
              <m:r>
                <m:t>i=1</m:t>
              </m:r>
            </m:sub>
            <m:sup>
              <m:r>
                <m:t>n</m:t>
              </m:r>
            </m:sup>
            <m:e>
              <m:sSub>
                <m:e>
                  <m:r>
                    <m:t>R</m:t>
                  </m:r>
                </m:e>
                <m:sub>
                  <m:r>
                    <m:t>t</m:t>
                  </m:r>
                </m:sub>
              </m:sSub>
            </m:e>
          </m:nary>
        </m:oMath>
      </m:oMathPara>
      <m:oMathPara>
        <m:oMath>
          <m:r>
            <m:t>=</m:t>
          </m:r>
        </m:oMath>
      </m:oMathPara>
      <m:oMathPara>
        <m:oMath>
          <m:r>
            <m:t>5+5+5</m:t>
          </m:r>
        </m:oMath>
      </m:oMathPara>
      <m:oMathPara>
        <m:oMath>
          <m:r>
            <m:t>=</m:t>
          </m:r>
        </m:oMath>
      </m:oMathPara>
      <m:oMathPara>
        <m:oMath>
          <m:r>
            <m:t>15</m:t>
          </m:r>
        </m:oMath>
      </m:oMathPara>
    </w:p>
    <w:p>
      <w:pPr>
        <w:pStyle w:val="pStyle"/>
      </w:pPr>
      <w:r>
        <w:t xml:space="preserve">По таблице Приложения находим критические значения для Т-критерия Вилкоксона для n=20:</w:t>
      </w:r>
    </w:p>
    <w:p>
      <w:pPr>
        <w:pStyle w:val="pStyle"/>
      </w:pPr>
      <w:r>
        <w:t xml:space="preserve">T</w:t>
      </w:r>
      <w:r>
        <w:rPr>
          <w:vertAlign w:val="subscript"/>
        </w:rPr>
        <w:t>кр</w:t>
      </w:r>
      <w:r>
        <w:t xml:space="preserve">=43 (p≤0.01)</w:t>
      </w:r>
    </w:p>
    <w:p>
      <w:pPr>
        <w:pStyle w:val="pStyle"/>
      </w:pPr>
      <w:r>
        <w:t xml:space="preserve">T</w:t>
      </w:r>
      <w:r>
        <w:rPr>
          <w:vertAlign w:val="subscript"/>
        </w:rPr>
        <w:t>кр</w:t>
      </w:r>
      <w:r>
        <w:t xml:space="preserve">=60 (p≤0.05)</w:t>
      </w:r>
    </w:p>
    <w:p>
      <w:pPr>
        <w:pStyle w:val="pStyle"/>
      </w:pPr>
      <w:r>
        <w:t xml:space="preserve">Зона значимости в данном случае простирается влево, действительно, если бы "редких", в данном случае положительных, направлений не было совсем, то и сумма их рангов равнялась бы нулю.</w:t>
      </w:r>
    </w:p>
    <w:p>
      <w:pPr>
        <w:pStyle w:val="pStyle"/>
      </w:pPr>
      <w:r>
        <w:t xml:space="preserve">В данном же случае эмпирическое значение Т попадает в зону значимости: Т</w:t>
      </w:r>
      <w:r>
        <w:rPr>
          <w:vertAlign w:val="subscript"/>
        </w:rPr>
        <w:t>эмп</w:t>
      </w:r>
      <w:r>
        <w:t xml:space="preserve">&lt;Т</w:t>
      </w:r>
      <w:r>
        <w:rPr>
          <w:vertAlign w:val="subscript"/>
        </w:rPr>
        <w:t>кр</w:t>
      </w:r>
      <w:r>
        <w:t xml:space="preserve">(0,01).</w:t>
      </w:r>
    </w:p>
    <w:p>
      <w:pPr>
        <w:pStyle w:val="pStyle"/>
      </w:pPr>
      <w:r>
        <w:t xml:space="preserve">Гипотеза H</w:t>
      </w:r>
      <w:r>
        <w:rPr>
          <w:vertAlign w:val="subscript"/>
        </w:rPr>
        <w:t>0</w:t>
      </w:r>
      <w:r>
        <w:t xml:space="preserve"> принимается. Показатели после эксперимента превышают значения показателей до опыта.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Критерий Вилкоксона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Критерий Манна-Уитни</w:t>
        </w:r>
      </w:hyperlink>
    </w:p>
    <w:p>
      <w:hyperlink r:id="rId9" w:history="1">
        <w:r>
          <w:rPr>
            <w:color w:val="0000FF"/>
            <w:u w:val="single"/>
          </w:rPr>
          <w:t xml:space="preserve">Метод средних оценок</w:t>
        </w:r>
      </w:hyperlink>
    </w:p>
    <w:p>
      <w:hyperlink r:id="rId10" w:history="1">
        <w:r>
          <w:rPr>
            <w:color w:val="0000FF"/>
            <w:u w:val="single"/>
          </w:rPr>
          <w:t xml:space="preserve">Коэффициент конкордации</w:t>
        </w:r>
      </w:hyperlink>
    </w:p>
    <w:p>
      <w:hyperlink r:id="rId11" w:history="1">
        <w:r>
          <w:rPr>
            <w:color w:val="0000FF"/>
            <w:u w:val="single"/>
          </w:rPr>
          <w:t xml:space="preserve">Коэффициент корреляции Спирмена</w:t>
        </w:r>
      </w:hyperlink>
    </w:p>
    <w:p>
      <w:hyperlink r:id="rId12" w:history="1">
        <w:r>
          <w:rPr>
            <w:color w:val="0000FF"/>
            <w:u w:val="single"/>
          </w:rPr>
          <w:t xml:space="preserve">Коэффициент контингенции</w:t>
        </w:r>
      </w:hyperlink>
    </w:p>
    <w:p>
      <w:hyperlink r:id="rId13" w:history="1">
        <w:r>
          <w:rPr>
            <w:color w:val="0000FF"/>
            <w:u w:val="single"/>
          </w:rPr>
          <w:t xml:space="preserve">Расчет доверительного интервала</w:t>
        </w:r>
      </w:hyperlink>
    </w:p>
    <w:p>
      <w:hyperlink r:id="rId14" w:history="1">
        <w:r>
          <w:rPr>
            <w:color w:val="0000FF"/>
            <w:u w:val="single"/>
          </w:rPr>
          <w:t xml:space="preserve">Однофакторный дисперсионный анализ</w:t>
        </w:r>
      </w:hyperlink>
    </w:p>
    <w:p>
      <w:hyperlink r:id="rId15" w:history="1">
        <w:r>
          <w:rPr>
            <w:color w:val="0000FF"/>
            <w:u w:val="single"/>
          </w:rPr>
          <w:t xml:space="preserve">Двухфакторный дисперсионный анализ</w:t>
        </w:r>
      </w:hyperlink>
    </w:p>
    <w:p>
      <w:hyperlink r:id="rId16" w:history="1">
        <w:r>
          <w:rPr>
            <w:color w:val="0000FF"/>
            <w:u w:val="single"/>
          </w:rPr>
          <w:t xml:space="preserve">Проверка гипотезы о равенстве дисперсий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group/wilcoxon.php" TargetMode="External"/>
  <Relationship Id="rId8" Type="http://schemas.openxmlformats.org/officeDocument/2006/relationships/hyperlink" Target="https://math.semestr.ru/corel/mann-whitney.php" TargetMode="External"/>
  <Relationship Id="rId9" Type="http://schemas.openxmlformats.org/officeDocument/2006/relationships/hyperlink" Target="https://math.semestr.ru/corel/average-ratings.php" TargetMode="External"/>
  <Relationship Id="rId10" Type="http://schemas.openxmlformats.org/officeDocument/2006/relationships/hyperlink" Target="https://math.semestr.ru/corel/concordance.php" TargetMode="External"/>
  <Relationship Id="rId11" Type="http://schemas.openxmlformats.org/officeDocument/2006/relationships/hyperlink" Target="https://math.semestr.ru/corel/spirmen.php" TargetMode="External"/>
  <Relationship Id="rId12" Type="http://schemas.openxmlformats.org/officeDocument/2006/relationships/hyperlink" Target="https://math.semestr.ru/corel/contingency.php" TargetMode="External"/>
  <Relationship Id="rId13" Type="http://schemas.openxmlformats.org/officeDocument/2006/relationships/hyperlink" Target="https://math.semestr.ru/group/interval.php" TargetMode="External"/>
  <Relationship Id="rId14" Type="http://schemas.openxmlformats.org/officeDocument/2006/relationships/hyperlink" Target="https://math.semestr.ru/group/factor.php" TargetMode="External"/>
  <Relationship Id="rId15" Type="http://schemas.openxmlformats.org/officeDocument/2006/relationships/hyperlink" Target="https://math.semestr.ru/group/two-factor.php" TargetMode="External"/>
  <Relationship Id="rId16" Type="http://schemas.openxmlformats.org/officeDocument/2006/relationships/hyperlink" Target="https://math.semestr.ru/group/equality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2024-08-08T13:51:00+03:00</dcterms:created>
  <dcterms:modified xsi:type="dcterms:W3CDTF">2024-08-08T13:51:00+03:00</dcterms:modified>
  <dc:title>Т-критерий Вилкоксона</dc:title>
  <dc:description>https://math.semestr.ru//group/wilcoxon.php</dc:description>
  <dc:subject>Т-критерий Вилкоксона</dc:subject>
  <cp:keywords>Т-критерий Вилкоксона</cp:keywords>
  <cp:category>Т-критерий Вилкоксона</cp:category>
</cp:coreProperties>
</file>