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Представим число -168 в двоичном коде.</w:t>
      </w:r>
    </w:p>
    <w:p>
      <w:pPr>
        <w:pStyle w:val="pStyle"/>
      </w:pPr>
      <w:r>
        <w:t xml:space="preserve">168 = 10101000</w:t>
      </w:r>
      <w:r>
        <w:rPr>
          <w:vertAlign w:val="subscript"/>
        </w:rPr>
        <w:t>2</w:t>
      </w:r>
    </w:p>
    <w:p>
      <w:pPr>
        <w:pStyle w:val="pStyle"/>
      </w:pPr>
      <w:r>
        <w:rPr>
          <w:b/>
        </w:rPr>
        <w:t>Прямой код двоичного числа</w:t>
      </w:r>
      <w:r>
        <w:t xml:space="preserve"> совпадает по изображению с записью самого числа. Значение знакового разряда для положительных чисел равно 0, а для отрицательных чисел 1.</w:t>
      </w:r>
    </w:p>
    <w:p>
      <w:pPr>
        <w:pStyle w:val="pStyle"/>
      </w:pPr>
      <w:r>
        <w:t xml:space="preserve">Таким образом, число -168 в прямом двоичном коде записывается как 1,10101000</w:t>
      </w:r>
    </w:p>
    <w:p>
      <w:pPr>
        <w:pStyle w:val="pStyle"/>
      </w:pPr>
      <w:r>
        <w:rPr>
          <w:b/>
        </w:rPr>
        <w:t>Обратный код</w:t>
      </w:r>
      <w:r>
        <w:t xml:space="preserve"> для положительного числа совпадает с прямым кодом. Для отрицательного числа все цифры числа заменяются на противоположные (1 на 0, 0 на 1), а в знаковый разряд заносится единица.</w:t>
      </w:r>
    </w:p>
    <w:p>
      <w:pPr>
        <w:pStyle w:val="pStyle"/>
      </w:pPr>
      <w:r>
        <w:t xml:space="preserve">Двоичное число 10101000 имеет обратный код 1,01010111</w:t>
      </w:r>
    </w:p>
    <w:p>
      <w:pPr>
        <w:pStyle w:val="pStyle"/>
      </w:pPr>
      <w:r>
        <w:rPr>
          <w:b/>
        </w:rPr>
        <w:t>Дополнительный код</w:t>
      </w:r>
      <w:r>
        <w:t xml:space="preserve"> положительного числа совпадает с прямым кодом. Для отрицательного числа дополнительный код образуется путем получения обратного кода и добавлением к младшему разряду единицы.</w:t>
      </w:r>
    </w:p>
    <w:p>
      <w:pPr>
        <w:pStyle w:val="pStyle"/>
      </w:pPr>
      <w:r>
        <w:t xml:space="preserve">В 0-ом разряде возникло переполнение (1 + 1 = 10). Поэтому записываем 0, а 1 переносим на 1-й разряд.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1-ом разряде возникло переполнение (1 + 1 = 10). Поэтому записываем 0, а 1 переносим на 2-й разряд.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2-ом разряде возникло переполнение (1 + 1 = 10). Поэтому записываем 0, а 1 переносим на 3-й разряд.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итоге получаем: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Число -168 представляется в двоичном дополнительном коде как 1,01011000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Обратный и дополнительный коды двоичных чисел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Формат числа с плавающей запятой</w:t>
        </w:r>
      </w:hyperlink>
    </w:p>
    <w:p>
      <w:hyperlink r:id="rId9" w:history="1">
        <w:r>
          <w:rPr>
            <w:color w:val="0000FF"/>
            <w:u w:val="single"/>
          </w:rPr>
          <w:t xml:space="preserve">Перевод чисел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Сложение двоичных чисел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двоичных чисел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inf/inverse.php" TargetMode="External"/>
  <Relationship Id="rId8" Type="http://schemas.openxmlformats.org/officeDocument/2006/relationships/hyperlink" Target="https://math.semestr.ru/inf/ieee754.php" TargetMode="External"/>
  <Relationship Id="rId9" Type="http://schemas.openxmlformats.org/officeDocument/2006/relationships/hyperlink" Target="https://math.semestr.ru/inf/index.php" TargetMode="External"/>
  <Relationship Id="rId10" Type="http://schemas.openxmlformats.org/officeDocument/2006/relationships/hyperlink" Target="https://math.semestr.ru/inf/operation.php" TargetMode="External"/>
  <Relationship Id="rId11" Type="http://schemas.openxmlformats.org/officeDocument/2006/relationships/hyperlink" Target="https://math.semestr.ru/inf/multiplicatio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2024-09-05T07:55:00+03:00</dcterms:created>
  <dcterms:modified xsi:type="dcterms:W3CDTF">2024-09-05T07:55:00+03:00</dcterms:modified>
  <dc:title>Обратный и дополнительный коды двоичных чисел</dc:title>
  <dc:description>Обратный и дополнительный коды двоичных чисел</dc:description>
  <dc:subject>Обратный и дополнительный коды двоичных чисел</dc:subject>
  <cp:keywords>https://math.semestr.ru/inf/inverse.php</cp:keywords>
  <cp:category>Обратный и дополнительный коды двоичных чисел</cp:category>
</cp:coreProperties>
</file>