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m:oMath>
        <m:r>
          <m:rPr/>
          <m:t>y</m:t>
        </m:r>
      </m:oMath>
      <w:r/>
      <m:oMath>
        <m:r>
          <m:rPr/>
          <m:t>=</m:t>
        </m:r>
      </m:oMath>
      <w:r/>
      <m:oMath>
        <m:r>
          <m:rPr/>
          <m:t>-</m:t>
        </m:r>
        <m:f>
          <m:fPr>
            <m:ctrlPr/>
          </m:fPr>
          <m:num>
            <m:r>
              <m:rPr/>
              <m:t>1</m:t>
            </m:r>
          </m:num>
          <m:den>
            <m:r>
              <m:rPr/>
              <m:t>4</m:t>
            </m:r>
          </m:den>
        </m:f>
        <m:r>
          <m:rPr/>
          <m:t>∙</m:t>
        </m:r>
        <m:sSup>
          <m:sSupPr>
            <m:ctrlPr/>
          </m:sSupPr>
          <m:e>
            <m:r>
              <m:rPr/>
              <m:t>x</m:t>
            </m:r>
          </m:e>
          <m:sup>
            <m:r>
              <m:rPr/>
              <m:t>4</m:t>
            </m:r>
          </m:sup>
        </m:sSup>
        <m:r>
          <m:rPr/>
          <m:t>-x+1</m:t>
        </m:r>
      </m:oMath>
      <w:r/>
      <w:r/>
    </w:p>
    <w:p>
      <w:pPr>
        <w:pStyle w:val="850"/>
      </w:pPr>
      <w:r>
        <w:rPr>
          <w:b/>
        </w:rPr>
        <w:t xml:space="preserve">1. Находим интервалы возрастания и убывания</w:t>
      </w:r>
      <w:r>
        <w:t xml:space="preserve">. Первая производная.</w:t>
      </w:r>
      <w:r/>
    </w:p>
    <w:p>
      <w:r/>
      <m:oMath>
        <m:r>
          <m:rPr/>
          <m:t>f</m:t>
        </m:r>
        <m:r>
          <m:rPr/>
          <m:t>′</m:t>
        </m:r>
        <m:r>
          <m:rPr/>
          <m:t>(x)</m:t>
        </m:r>
      </m:oMath>
      <w:r/>
      <m:oMath>
        <m:r>
          <m:rPr/>
          <m:t>=</m:t>
        </m:r>
      </m:oMath>
      <w:r/>
      <m:oMath>
        <m:r>
          <m:rPr/>
          <m:t>-</m:t>
        </m:r>
        <m:sSup>
          <m:sSupPr>
            <m:ctrlPr/>
          </m:sSupPr>
          <m:e>
            <m:r>
              <m:rPr/>
              <m:t>x</m:t>
            </m:r>
          </m:e>
          <m:sup>
            <m:r>
              <m:rPr/>
              <m:t>3</m:t>
            </m:r>
          </m:sup>
        </m:sSup>
        <m:r>
          <m:rPr/>
          <m:t>-1</m:t>
        </m:r>
      </m:oMath>
      <w:r/>
      <w:r/>
    </w:p>
    <w:p>
      <w:pPr>
        <w:pStyle w:val="850"/>
      </w:pPr>
      <w:r>
        <w:t xml:space="preserve">или</w:t>
      </w:r>
      <w:r/>
    </w:p>
    <w:p>
      <w:r/>
      <m:oMath>
        <m:r>
          <m:rPr/>
          <m:t>f</m:t>
        </m:r>
        <m:r>
          <m:rPr/>
          <m:t>′</m:t>
        </m:r>
        <m:r>
          <m:rPr/>
          <m:t>(x)</m:t>
        </m:r>
      </m:oMath>
      <w:r/>
      <m:oMath>
        <m:r>
          <m:rPr/>
          <m:t>=</m:t>
        </m:r>
      </m:oMath>
      <w:r/>
      <m:oMath>
        <m:r>
          <m:rPr/>
          <m:t>-(x+1)∙(</m:t>
        </m:r>
        <m:sSup>
          <m:sSupPr>
            <m:ctrlPr/>
          </m:sSupPr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-x+1)</m:t>
        </m:r>
      </m:oMath>
      <w:r/>
      <w:r/>
    </w:p>
    <w:p>
      <w:pPr>
        <w:pStyle w:val="850"/>
      </w:pPr>
      <w:r>
        <w:t xml:space="preserve">Находим нули функции. Для этого приравниваем производную к нулю</w:t>
      </w:r>
      <w:r/>
    </w:p>
    <w:p>
      <w:r/>
      <m:oMath>
        <m:r>
          <m:rPr/>
          <m:t>-(x+1)∙(</m:t>
        </m:r>
        <m:sSup>
          <m:sSupPr>
            <m:ctrlPr/>
          </m:sSupPr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-x+1)</m:t>
        </m:r>
      </m:oMath>
      <w:r/>
      <m:oMath>
        <m:r>
          <m:rPr/>
          <m:t>=</m:t>
        </m:r>
      </m:oMath>
      <w:r/>
      <m:oMath>
        <m:r>
          <m:rPr/>
          <m:t>0</m:t>
        </m:r>
      </m:oMath>
      <w:r/>
      <w:r/>
    </w:p>
    <w:p>
      <w:pPr>
        <w:pStyle w:val="850"/>
      </w:pPr>
      <w:r>
        <w:t xml:space="preserve">Откуда: </w:t>
      </w:r>
      <m:oMath>
        <m:r>
          <m:rPr/>
          <m:t>x</m:t>
        </m:r>
      </m:oMath>
      <w:r/>
      <m:oMath>
        <m:r>
          <m:rPr/>
          <m:t>=</m:t>
        </m:r>
      </m:oMath>
      <w:r/>
      <m:oMath>
        <m:r>
          <m:rPr/>
          <m:t>-1</m:t>
        </m:r>
      </m:oMath>
      <w:r/>
      <w:r/>
    </w:p>
    <w:tbl>
      <w:tblPr>
        <w:tblStyle w:val="851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>
        <w:trPr/>
        <w:tc>
          <w:tcPr>
            <w:tcW w:w="2000" w:type="dxa"/>
            <w:textDirection w:val="lrTb"/>
            <w:noWrap w:val="false"/>
          </w:tcPr>
          <w:p>
            <w:r/>
            <m:oMathPara>
              <m:oMathParaPr/>
              <m:oMath>
                <m:d>
                  <m:dPr>
                    <m:begChr m:val="("/>
                    <m:endChr m:val=")"/>
                    <m:ctrlPr/>
                  </m:dPr>
                  <m:e>
                    <m:r>
                      <m:rPr/>
                      <m:t>-∞</m:t>
                    </m:r>
                    <m:r>
                      <m:rPr/>
                      <m:t> ; </m:t>
                    </m:r>
                    <m:r>
                      <m:rPr/>
                      <m:t>-1</m:t>
                    </m:r>
                  </m:e>
                </m:d>
              </m:oMath>
            </m:oMathPara>
            <w:r/>
            <w:r/>
          </w:p>
        </w:tc>
        <w:tc>
          <w:tcPr>
            <w:tcW w:w="2000" w:type="dxa"/>
            <w:textDirection w:val="lrTb"/>
            <w:noWrap w:val="false"/>
          </w:tcPr>
          <w:p>
            <w:r/>
            <m:oMathPara>
              <m:oMathParaPr/>
              <m:oMath>
                <m:r>
                  <m:rPr/>
                  <m:t>-1</m:t>
                </m:r>
              </m:oMath>
            </m:oMathPara>
            <w:r/>
            <w:r/>
          </w:p>
        </w:tc>
        <w:tc>
          <w:tcPr>
            <w:tcW w:w="2000" w:type="dxa"/>
            <w:textDirection w:val="lrTb"/>
            <w:noWrap w:val="false"/>
          </w:tcPr>
          <w:p>
            <w:r/>
            <m:oMathPara>
              <m:oMathParaPr/>
              <m:oMath>
                <m:d>
                  <m:dPr>
                    <m:begChr m:val="("/>
                    <m:endChr m:val=")"/>
                    <m:ctrlPr/>
                  </m:dPr>
                  <m:e>
                    <m:r>
                      <m:rPr/>
                      <m:t>-1</m:t>
                    </m:r>
                    <m:r>
                      <m:rPr/>
                      <m:t> ; </m:t>
                    </m:r>
                    <m:r>
                      <m:rPr/>
                      <m:t> +∞</m:t>
                    </m:r>
                  </m:e>
                </m:d>
              </m:oMath>
            </m:oMathPara>
            <w:r/>
            <w:r/>
          </w:p>
        </w:tc>
      </w:tr>
      <w:tr>
        <w:trPr/>
        <w:tc>
          <w:tcPr>
            <w:tcW w:w="2000" w:type="dxa"/>
            <w:textDirection w:val="lrTb"/>
            <w:noWrap w:val="false"/>
          </w:tcPr>
          <w:p>
            <w:r/>
            <m:oMathPara>
              <m:oMathParaPr/>
              <m:oMath>
                <m:r>
                  <m:rPr/>
                  <m:t>f</m:t>
                </m:r>
                <m:r>
                  <m:rPr/>
                  <m:t>′</m:t>
                </m:r>
                <m:r>
                  <m:rPr/>
                  <m:t>(x)</m:t>
                </m:r>
                <m:r>
                  <m:rPr/>
                  <m:t>&gt;</m:t>
                </m:r>
                <m:r>
                  <m:rPr/>
                  <m:t>0</m:t>
                </m:r>
              </m:oMath>
            </m:oMathPara>
            <w:r/>
            <w:r/>
          </w:p>
        </w:tc>
        <w:tc>
          <w:tcPr>
            <w:tcW w:w="2000" w:type="dxa"/>
            <w:textDirection w:val="lrTb"/>
            <w:noWrap w:val="false"/>
          </w:tcPr>
          <w:p>
            <w:r/>
            <m:oMath>
              <m:r>
                <m:rPr/>
                <m:t>f</m:t>
              </m:r>
              <m:r>
                <m:rPr/>
                <m:t>′</m:t>
              </m:r>
              <m:r>
                <m:rPr/>
                <m:t>(x)</m:t>
              </m:r>
            </m:oMath>
            <w:r/>
            <m:oMath>
              <m:r>
                <m:rPr/>
                <m:t>=</m:t>
              </m:r>
            </m:oMath>
            <w:r/>
            <m:oMath>
              <m:r>
                <m:rPr/>
                <m:t>0</m:t>
              </m:r>
            </m:oMath>
            <w:r/>
            <w:r/>
          </w:p>
        </w:tc>
        <w:tc>
          <w:tcPr>
            <w:tcW w:w="2000" w:type="dxa"/>
            <w:textDirection w:val="lrTb"/>
            <w:noWrap w:val="false"/>
          </w:tcPr>
          <w:p>
            <w:r/>
            <m:oMathPara>
              <m:oMathParaPr/>
              <m:oMath>
                <m:r>
                  <m:rPr/>
                  <m:t>f</m:t>
                </m:r>
                <m:r>
                  <m:rPr/>
                  <m:t>′</m:t>
                </m:r>
                <m:r>
                  <m:rPr/>
                  <m:t>(x)</m:t>
                </m:r>
                <m:r>
                  <m:rPr/>
                  <m:t>&lt;</m:t>
                </m:r>
                <m:r>
                  <m:rPr/>
                  <m:t>0</m:t>
                </m:r>
              </m:oMath>
            </m:oMathPara>
            <w:r/>
            <w:r/>
          </w:p>
        </w:tc>
      </w:tr>
      <w:tr>
        <w:trPr/>
        <w:tc>
          <w:tcPr>
            <w:tcW w:w="2000" w:type="dxa"/>
            <w:textDirection w:val="lrTb"/>
            <w:noWrap w:val="false"/>
          </w:tcPr>
          <w:p>
            <w:r>
              <w:t xml:space="preserve">функция возрастает</w:t>
            </w:r>
            <w:r/>
          </w:p>
        </w:tc>
        <w:tc>
          <w:tcPr>
            <w:tcW w:w="2000" w:type="dxa"/>
            <w:textDirection w:val="lrTb"/>
            <w:noWrap w:val="false"/>
          </w:tcPr>
          <w:p>
            <w:r>
              <w:t xml:space="preserve">max</w:t>
            </w:r>
            <w:r/>
          </w:p>
        </w:tc>
        <w:tc>
          <w:tcPr>
            <w:tcW w:w="2000" w:type="dxa"/>
            <w:textDirection w:val="lrTb"/>
            <w:noWrap w:val="false"/>
          </w:tcPr>
          <w:p>
            <w:r>
              <w:t xml:space="preserve">функция убывает</w:t>
            </w:r>
            <w:r/>
          </w:p>
        </w:tc>
      </w:tr>
    </w:tbl>
    <w:p>
      <w:pPr>
        <w:pStyle w:val="850"/>
      </w:pPr>
      <w:r>
        <w:t xml:space="preserve">В окрестности точки x=-1 производная функции меняет знак с (+) на (-). Следовательно, точка x=-1 - точка максимума.</w:t>
      </w:r>
      <w:r/>
    </w:p>
    <w:p>
      <w:pPr>
        <w:pStyle w:val="850"/>
      </w:pPr>
      <w:r>
        <w:t xml:space="preserve">Решение было получено и оформлено с помощью сервиса:</w:t>
      </w:r>
      <w:r/>
    </w:p>
    <w:p>
      <w:r/>
      <w:hyperlink r:id="rId9" w:tooltip="https://math.semestr.ru/math/intervals.php" w:history="1">
        <w:r>
          <w:rPr>
            <w:color w:val="0000ff"/>
            <w:u w:val="single"/>
          </w:rPr>
          <w:t xml:space="preserve">Интервалы возрастания и убывания функции</w:t>
        </w:r>
      </w:hyperlink>
      <w:r/>
      <w:r/>
    </w:p>
    <w:p>
      <w:pPr>
        <w:pStyle w:val="850"/>
      </w:pPr>
      <w:r>
        <w:t xml:space="preserve">Вместе с этой задачей решают также:</w:t>
      </w:r>
      <w:r/>
    </w:p>
    <w:p>
      <w:r/>
      <w:hyperlink r:id="rId10" w:tooltip="https://math.semestr.ru/math/tangent.php" w:history="1">
        <w:r>
          <w:rPr>
            <w:color w:val="0000ff"/>
            <w:u w:val="single"/>
          </w:rPr>
          <w:t xml:space="preserve">Уравнение касательной</w:t>
        </w:r>
      </w:hyperlink>
      <w:r/>
      <w:r/>
    </w:p>
    <w:p>
      <w:r/>
      <w:hyperlink r:id="rId11" w:tooltip="https://math.semestr.ru/math/grafic.php" w:history="1">
        <w:r>
          <w:rPr>
            <w:color w:val="0000ff"/>
            <w:u w:val="single"/>
          </w:rPr>
          <w:t xml:space="preserve">Исследование функции</w:t>
        </w:r>
      </w:hyperlink>
      <w:r/>
      <w:r/>
    </w:p>
    <w:p>
      <w:r/>
      <w:hyperlink r:id="rId12" w:tooltip="https://math.semestr.ru/math/plot.php" w:history="1">
        <w:r>
          <w:rPr>
            <w:color w:val="0000ff"/>
            <w:u w:val="single"/>
          </w:rPr>
          <w:t xml:space="preserve">Построение графика функции онлайн</w:t>
        </w:r>
      </w:hyperlink>
      <w:r/>
      <w:r/>
    </w:p>
    <w:p>
      <w:r/>
      <w:hyperlink r:id="rId13" w:tooltip="https://math.semestr.ru/math/lim.php" w:history="1">
        <w:r>
          <w:rPr>
            <w:color w:val="0000ff"/>
            <w:u w:val="single"/>
          </w:rPr>
          <w:t xml:space="preserve">Пределы онлайн</w:t>
        </w:r>
      </w:hyperlink>
      <w:r/>
      <w:r/>
    </w:p>
    <w:p>
      <w:r/>
      <w:hyperlink r:id="rId14" w:tooltip="https://math.semestr.ru/math/minmax.php" w:history="1">
        <w:r>
          <w:rPr>
            <w:color w:val="0000ff"/>
            <w:u w:val="single"/>
          </w:rPr>
          <w:t xml:space="preserve">Экстремум функции</w:t>
        </w:r>
      </w:hyperlink>
      <w:r/>
      <w:r/>
    </w:p>
    <w:p>
      <w:r/>
      <w:hyperlink r:id="rId15" w:tooltip="https://math.semestr.ru/math/int.php" w:history="1">
        <w:r>
          <w:rPr>
            <w:color w:val="0000ff"/>
            <w:u w:val="single"/>
          </w:rPr>
          <w:t xml:space="preserve">Интегралы онлайн</w:t>
        </w:r>
      </w:hyperlink>
      <w:r/>
      <w:r/>
    </w:p>
    <w:sectPr>
      <w:footnotePr/>
      <w:endnotePr/>
      <w:type w:val="nextPage"/>
      <w:pgSz w:w="11906" w:h="16838" w:orient="portrait"/>
      <w:pgMar w:top="1418" w:right="1418" w:bottom="1134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224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  <w:tabs>
          <w:tab w:val="num" w:pos="720" w:leader="none"/>
        </w:tabs>
      </w:pPr>
      <w:rPr>
        <w:rFonts w:hint="default"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  <w:tabs>
          <w:tab w:val="num" w:pos="720" w:leader="none"/>
        </w:tabs>
      </w:pPr>
      <w:rPr>
        <w:rFonts w:hint="default"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8"/>
        <w:szCs w:val="28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uiPriority w:val="39"/>
    <w:unhideWhenUsed/>
    <w:pPr>
      <w:ind w:left="0" w:right="0" w:firstLine="0"/>
      <w:spacing w:after="57"/>
    </w:pPr>
  </w:style>
  <w:style w:type="paragraph" w:styleId="840">
    <w:name w:val="toc 2"/>
    <w:uiPriority w:val="39"/>
    <w:unhideWhenUsed/>
    <w:pPr>
      <w:ind w:left="283" w:right="0" w:firstLine="0"/>
      <w:spacing w:after="57"/>
    </w:pPr>
  </w:style>
  <w:style w:type="paragraph" w:styleId="841">
    <w:name w:val="toc 3"/>
    <w:uiPriority w:val="39"/>
    <w:unhideWhenUsed/>
    <w:pPr>
      <w:ind w:left="567" w:right="0" w:firstLine="0"/>
      <w:spacing w:after="57"/>
    </w:pPr>
  </w:style>
  <w:style w:type="paragraph" w:styleId="842">
    <w:name w:val="toc 4"/>
    <w:uiPriority w:val="39"/>
    <w:unhideWhenUsed/>
    <w:pPr>
      <w:ind w:left="850" w:right="0" w:firstLine="0"/>
      <w:spacing w:after="57"/>
    </w:pPr>
  </w:style>
  <w:style w:type="paragraph" w:styleId="843">
    <w:name w:val="toc 5"/>
    <w:uiPriority w:val="39"/>
    <w:unhideWhenUsed/>
    <w:pPr>
      <w:ind w:left="1134" w:right="0" w:firstLine="0"/>
      <w:spacing w:after="57"/>
    </w:pPr>
  </w:style>
  <w:style w:type="paragraph" w:styleId="844">
    <w:name w:val="toc 6"/>
    <w:uiPriority w:val="39"/>
    <w:unhideWhenUsed/>
    <w:pPr>
      <w:ind w:left="1417" w:right="0" w:firstLine="0"/>
      <w:spacing w:after="57"/>
    </w:pPr>
  </w:style>
  <w:style w:type="paragraph" w:styleId="845">
    <w:name w:val="toc 7"/>
    <w:uiPriority w:val="39"/>
    <w:unhideWhenUsed/>
    <w:pPr>
      <w:ind w:left="1701" w:right="0" w:firstLine="0"/>
      <w:spacing w:after="57"/>
    </w:pPr>
  </w:style>
  <w:style w:type="paragraph" w:styleId="846">
    <w:name w:val="toc 8"/>
    <w:uiPriority w:val="39"/>
    <w:unhideWhenUsed/>
    <w:pPr>
      <w:ind w:left="1984" w:right="0" w:firstLine="0"/>
      <w:spacing w:after="57"/>
    </w:pPr>
  </w:style>
  <w:style w:type="paragraph" w:styleId="847">
    <w:name w:val="toc 9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uiPriority w:val="99"/>
    <w:unhideWhenUsed/>
    <w:pPr>
      <w:spacing w:after="0" w:afterAutospacing="0"/>
    </w:pPr>
  </w:style>
  <w:style w:type="paragraph" w:styleId="850" w:customStyle="1">
    <w:name w:val="pStyle"/>
    <w:pPr>
      <w:ind w:firstLine="720"/>
      <w:jc w:val="both"/>
      <w:spacing w:after="0" w:line="360" w:lineRule="auto"/>
    </w:pPr>
  </w:style>
  <w:style w:type="table" w:styleId="851" w:customStyle="1">
    <w:name w:val="myOwnTableStyle"/>
    <w:uiPriority w:val="99"/>
    <w:tblPr>
      <w:tblBorders>
        <w:top w:val="single" w:color="006699" w:sz="6" w:space="0"/>
        <w:left w:val="single" w:color="006699" w:sz="6" w:space="0"/>
        <w:bottom w:val="single" w:color="006699" w:sz="6" w:space="0"/>
        <w:right w:val="single" w:color="006699" w:sz="6" w:space="0"/>
        <w:insideH w:val="single" w:color="006699" w:sz="6" w:space="0"/>
        <w:insideV w:val="single" w:color="006699" w:sz="6" w:space="0"/>
      </w:tblBorders>
      <w:tblCellMar>
        <w:left w:w="80" w:type="dxa"/>
        <w:top w:w="80" w:type="dxa"/>
        <w:right w:w="80" w:type="dxa"/>
        <w:bottom w:w="80" w:type="dxa"/>
      </w:tblCellMar>
    </w:tblPr>
  </w:style>
  <w:style w:type="paragraph" w:styleId="852" w:customStyle="1">
    <w:name w:val="tc_align"/>
    <w:pPr>
      <w:jc w:val="center"/>
    </w:pPr>
  </w:style>
  <w:style w:type="paragraph" w:styleId="853" w:customStyle="1">
    <w:name w:val="eq_left"/>
    <w:pPr>
      <w:jc w:val="left"/>
    </w:pPr>
  </w:style>
  <w:style w:type="character" w:styleId="854" w:default="1">
    <w:name w:val="Default Paragraph Font"/>
    <w:uiPriority w:val="1"/>
    <w:semiHidden/>
    <w:unhideWhenUsed/>
  </w:style>
  <w:style w:type="numbering" w:styleId="855" w:default="1">
    <w:name w:val="No List"/>
    <w:uiPriority w:val="99"/>
    <w:semiHidden/>
    <w:unhideWhenUsed/>
  </w:style>
  <w:style w:type="paragraph" w:styleId="856" w:default="1">
    <w:name w:val="Normal"/>
    <w:qFormat/>
  </w:style>
  <w:style w:type="table" w:styleId="85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math.semestr.ru/math/intervals.php" TargetMode="External"/><Relationship Id="rId10" Type="http://schemas.openxmlformats.org/officeDocument/2006/relationships/hyperlink" Target="https://math.semestr.ru/math/tangent.php" TargetMode="External"/><Relationship Id="rId11" Type="http://schemas.openxmlformats.org/officeDocument/2006/relationships/hyperlink" Target="https://math.semestr.ru/math/grafic.php" TargetMode="External"/><Relationship Id="rId12" Type="http://schemas.openxmlformats.org/officeDocument/2006/relationships/hyperlink" Target="https://math.semestr.ru/math/plot.php" TargetMode="External"/><Relationship Id="rId13" Type="http://schemas.openxmlformats.org/officeDocument/2006/relationships/hyperlink" Target="https://math.semestr.ru/math/lim.php" TargetMode="External"/><Relationship Id="rId14" Type="http://schemas.openxmlformats.org/officeDocument/2006/relationships/hyperlink" Target="https://math.semestr.ru/math/minmax.php" TargetMode="External"/><Relationship Id="rId15" Type="http://schemas.openxmlformats.org/officeDocument/2006/relationships/hyperlink" Target="https://math.semestr.ru/math/int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ООО Новый семестр</Compan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Промежутки монотонности функции</dc:title>
  <dc:subject>Промежутки монотонности функции</dc:subject>
  <dc:creator>ООО Новый семестр</dc:creator>
  <cp:keywords>Интервалы возрастания и убывания функции. Наибольшее и наименьшее значение функции</cp:keywords>
  <dc:description>https://math.semestr.ru/math/intervals.php</dc:description>
  <cp:lastModifiedBy>Андрей Бледнов</cp:lastModifiedBy>
  <cp:revision>2</cp:revision>
  <dcterms:created xsi:type="dcterms:W3CDTF">2024-01-26T14:01:00Z</dcterms:created>
  <dcterms:modified xsi:type="dcterms:W3CDTF">2024-03-01T12:47:26Z</dcterms:modified>
  <cp:category>Промежутки монотонности функции</cp:category>
</cp:coreProperties>
</file>