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Формула трапеций аналогична формулам прямоугольников, но функция y=f(x) заменяется на каждом отрезке [x</w:t>
      </w:r>
      <w:r>
        <w:rPr>
          <w:vertAlign w:val="subscript"/>
        </w:rPr>
        <w:t>i</w:t>
      </w:r>
      <w:r>
        <w:t xml:space="preserve">, x</w:t>
      </w:r>
      <w:r>
        <w:rPr>
          <w:vertAlign w:val="subscript"/>
        </w:rPr>
        <w:t>i+1</w:t>
      </w:r>
      <w:r>
        <w:t xml:space="preserve">] отрезком прямой Δx.</w:t>
      </w:r>
    </w:p>
    <w:p>
      <w:pPr>
        <w:pStyle w:val="pStyle"/>
      </w:pPr>
      <w:r>
        <w:rPr>
          <w:b/>
        </w:rPr>
        <w:t>Формула трапеций</w:t>
      </w:r>
      <w:r>
        <w:t xml:space="preserve">:</w:t>
      </w:r>
    </w:p>
    <w:p>
      <m:oMathPara>
        <m:oMath>
          <m:nary>
            <m:naryPr>
              <m:limLoc m:val="undOvr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f(x) dx</m:t>
              </m:r>
            </m:e>
          </m:nary>
          <m:r>
            <m:t> ≈  </m:t>
          </m:r>
          <m:f>
            <m:num>
              <m:r>
                <m:t>b-a</m:t>
              </m:r>
            </m:num>
            <m:den>
              <m:r>
                <m:t>n</m:t>
              </m:r>
            </m:den>
          </m:f>
          <m:r>
            <m:t> [</m:t>
          </m:r>
          <m:f>
            <m:num>
              <m:sSub>
                <m:e>
                  <m:r>
                    <m:t>y</m:t>
                  </m:r>
                </m:e>
                <m:sub>
                  <m:r>
                    <m:t>0</m:t>
                  </m:r>
                </m:sub>
              </m:sSub>
              <m:r>
                <m:t>+</m:t>
              </m:r>
              <m:sSub>
                <m:e>
                  <m:r>
                    <m:t>y</m:t>
                  </m:r>
                </m:e>
                <m:sub>
                  <m:r>
                    <m:t>n</m:t>
                  </m:r>
                </m:sub>
              </m:sSub>
            </m:num>
            <m:den>
              <m:r>
                <m:t>2</m:t>
              </m:r>
            </m:den>
          </m:f>
          <m:r>
            <m:t> + </m:t>
          </m:r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 + </m:t>
          </m:r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 + ... + </m:t>
          </m:r>
          <m:sSub>
            <m:e>
              <m:r>
                <m:t>y</m:t>
              </m:r>
            </m:e>
            <m:sub>
              <m:r>
                <m:t>n-1</m:t>
              </m:r>
            </m:sub>
          </m:sSub>
          <m:r>
            <m:t>]</m:t>
          </m:r>
        </m:oMath>
      </m:oMathPara>
    </w:p>
    <w:p>
      <m:oMathPara>
        <m:oMath>
          <m:r>
            <m:t>h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b-a</m:t>
              </m:r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1.8-0</m:t>
              </m:r>
            </m:num>
            <m:den>
              <m:r>
                <m:t>10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0.18</m:t>
          </m:r>
        </m:oMath>
      </m:oMathPara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i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i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i</w:t>
            </w:r>
          </w:p>
        </w:tc>
      </w:tr>
      <w:tr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0.18</w:t>
            </w:r>
          </w:p>
        </w:tc>
        <w:tc>
          <w:tcPr>
            <w:tcW w:w="1200" w:type="dxa"/>
          </w:tcPr>
          <w:p>
            <w:r>
              <w:t xml:space="preserve">0.1655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0.36</w:t>
            </w:r>
          </w:p>
        </w:tc>
        <w:tc>
          <w:tcPr>
            <w:tcW w:w="1200" w:type="dxa"/>
          </w:tcPr>
          <w:p>
            <w:r>
              <w:t xml:space="preserve">0.3075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0.54</w:t>
            </w:r>
          </w:p>
        </w:tc>
        <w:tc>
          <w:tcPr>
            <w:tcW w:w="1200" w:type="dxa"/>
          </w:tcPr>
          <w:p>
            <w:r>
              <w:t xml:space="preserve">0.4318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0.72</w:t>
            </w:r>
          </w:p>
        </w:tc>
        <w:tc>
          <w:tcPr>
            <w:tcW w:w="1200" w:type="dxa"/>
          </w:tcPr>
          <w:p>
            <w:r>
              <w:t xml:space="preserve">0.5423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0.9</w:t>
            </w:r>
          </w:p>
        </w:tc>
        <w:tc>
          <w:tcPr>
            <w:tcW w:w="1200" w:type="dxa"/>
          </w:tcPr>
          <w:p>
            <w:r>
              <w:t xml:space="preserve">0.6419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1.08</w:t>
            </w:r>
          </w:p>
        </w:tc>
        <w:tc>
          <w:tcPr>
            <w:tcW w:w="1200" w:type="dxa"/>
          </w:tcPr>
          <w:p>
            <w:r>
              <w:t xml:space="preserve">0.7324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1.26</w:t>
            </w:r>
          </w:p>
        </w:tc>
        <w:tc>
          <w:tcPr>
            <w:tcW w:w="1200" w:type="dxa"/>
          </w:tcPr>
          <w:p>
            <w:r>
              <w:t xml:space="preserve">0.8154</w:t>
            </w:r>
          </w:p>
        </w:tc>
      </w:tr>
      <w:tr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200" w:type="dxa"/>
          </w:tcPr>
          <w:p>
            <w:r>
              <w:t xml:space="preserve">1.44</w:t>
            </w:r>
          </w:p>
        </w:tc>
        <w:tc>
          <w:tcPr>
            <w:tcW w:w="1200" w:type="dxa"/>
          </w:tcPr>
          <w:p>
            <w:r>
              <w:t xml:space="preserve">0.892</w:t>
            </w:r>
          </w:p>
        </w:tc>
      </w:tr>
      <w:tr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200" w:type="dxa"/>
          </w:tcPr>
          <w:p>
            <w:r>
              <w:t xml:space="preserve">1.62</w:t>
            </w:r>
          </w:p>
        </w:tc>
        <w:tc>
          <w:tcPr>
            <w:tcW w:w="1200" w:type="dxa"/>
          </w:tcPr>
          <w:p>
            <w:r>
              <w:t xml:space="preserve">0.9632</w:t>
            </w:r>
          </w:p>
        </w:tc>
      </w:tr>
      <w:tr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200" w:type="dxa"/>
          </w:tcPr>
          <w:p>
            <w:r>
              <w:t xml:space="preserve">1.8</w:t>
            </w:r>
          </w:p>
        </w:tc>
        <w:tc>
          <w:tcPr>
            <w:tcW w:w="1200" w:type="dxa"/>
          </w:tcPr>
          <w:p>
            <w:r>
              <w:t xml:space="preserve">1.0296</w:t>
            </w:r>
          </w:p>
        </w:tc>
      </w:tr>
    </w:tbl>
    <w:p>
      <m:oMathPara>
        <m:oMath>
          <m:nary>
            <m:naryPr>
              <m:limLoc m:val="undOvr"/>
            </m:naryPr>
            <m:sub>
              <m:r>
                <m:t>0</m:t>
              </m:r>
            </m:sub>
            <m:sup>
              <m:r>
                <m:t>1.8</m:t>
              </m:r>
            </m:sup>
            <m:e>
              <m:func>
                <m:fName>
                  <m:r>
                    <m:t>ln</m:t>
                  </m:r>
                </m:fName>
                <m:e>
                  <m:d>
                    <m:e>
                      <m:r>
                        <m:t>x+1</m:t>
                      </m:r>
                    </m:e>
                  </m:d>
                </m:e>
              </m:func>
              <m:r>
                <m:t>∙dx</m:t>
              </m:r>
            </m:e>
          </m:nary>
        </m:oMath>
      </m:oMathPara>
      <m:oMathPara>
        <m:oMath>
          <m:r>
            <m:t>≈</m:t>
          </m:r>
        </m:oMath>
      </m:oMathPara>
      <m:oMathPara>
        <m:oMath>
          <m:f>
            <m:num>
              <m:r>
                <m:t>1.8-0</m:t>
              </m:r>
            </m:num>
            <m:den>
              <m:r>
                <m:t>10</m:t>
              </m:r>
            </m:den>
          </m:f>
          <m:r>
            <m:t>∙(</m:t>
          </m:r>
          <m:f>
            <m:num>
              <m:r>
                <m:t>0+1.03</m:t>
              </m:r>
            </m:num>
            <m:den>
              <m:r>
                <m:t>2</m:t>
              </m:r>
            </m:den>
          </m:f>
          <m:r>
            <m:t>+0.166+0.307</m:t>
          </m:r>
          <m:r>
            <m:t>+...+</m:t>
          </m:r>
          <m:r>
            <m:t>0.892+0.963)</m:t>
          </m:r>
        </m:oMath>
      </m:oMathPara>
      <m:oMathPara>
        <m:oMath>
          <m:r>
            <m:t>=</m:t>
          </m:r>
        </m:oMath>
      </m:oMathPara>
      <m:oMathPara>
        <m:oMath>
          <m:r>
            <m:t>0.18∙6.007</m:t>
          </m:r>
        </m:oMath>
      </m:oMathPara>
      <m:oMathPara>
        <m:oMath>
          <m:r>
            <m:t>=</m:t>
          </m:r>
        </m:oMath>
      </m:oMathPara>
      <m:oMathPara>
        <m:oMath>
          <m:r>
            <m:t>1.081</m:t>
          </m:r>
        </m:oMath>
      </m:oMathPara>
    </w:p>
    <w:p>
      <w:pPr>
        <w:pStyle w:val="pStyle"/>
      </w:pPr>
      <w:r>
        <w:t xml:space="preserve">Остаточный член квадратурной формулы:</w:t>
      </w:r>
    </w:p>
    <w:p>
      <m:oMathPara>
        <m:oMath>
          <m:sSub>
            <m:e>
              <m:r>
                <m:t>R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 </m:t>
          </m:r>
          <m:f>
            <m:num>
              <m:r>
                <m:t>b-a</m:t>
              </m:r>
            </m:num>
            <m:den>
              <m:r>
                <m:t>12</m:t>
              </m:r>
            </m:den>
          </m:f>
          <m:r>
            <m:t>∙h∙f''(c)</m:t>
          </m:r>
        </m:oMath>
      </m:oMathPara>
    </w:p>
    <w:p>
      <m:oMathPara>
        <m:oMath>
          <m:r>
            <m:t>f</m:t>
          </m:r>
          <m:r>
            <m:t>″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</m:t>
              </m:r>
            </m:num>
            <m:den>
              <m:sSup>
                <m:e>
                  <m:d>
                    <m:e>
                      <m:r>
                        <m:t>x+1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pStyle"/>
      </w:pPr>
      <w:r>
        <w:t xml:space="preserve">Найдем максимальное значение второй производной функции на интервале [0;1.8].</w:t>
      </w:r>
    </w:p>
    <w:p>
      <w:r>
        <w:t xml:space="preserve">max[f ''(x)] = max(-1/((x+1)^2)), x[0;1.8] = -0.1276</w:t>
      </w:r>
    </w:p>
    <w:p>
      <m:oMathPara>
        <m:oMath>
          <m:sSub>
            <m:e>
              <m:r>
                <m:t>R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 </m:t>
          </m:r>
          <m:f>
            <m:num>
              <m:r>
                <m:t>b-a</m:t>
              </m:r>
            </m:num>
            <m:den>
              <m:r>
                <m:t>12</m:t>
              </m:r>
            </m:den>
          </m:f>
          <m:r>
            <m:t>∙</m:t>
          </m:r>
          <m:sSup>
            <m:e>
              <m:r>
                <m:t>h</m:t>
              </m:r>
            </m:e>
            <m:sup>
              <m:r>
                <m:t>2</m:t>
              </m:r>
            </m:sup>
          </m:sSup>
          <m:r>
            <m:t>∙f''(c)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1.8-0</m:t>
              </m:r>
            </m:num>
            <m:den>
              <m:r>
                <m:t>12</m:t>
              </m:r>
            </m:den>
          </m:f>
          <m:r>
            <m:t>∙</m:t>
          </m:r>
          <m:sSup>
            <m:e>
              <m:r>
                <m:t>0.18</m:t>
              </m:r>
            </m:e>
            <m:sup>
              <m:r>
                <m:t>2</m:t>
              </m:r>
            </m:sup>
          </m:sSup>
          <m:r>
            <m:t>∙(-0.1276)</m:t>
          </m:r>
        </m:oMath>
      </m:oMathPara>
      <m:oMathPara>
        <m:oMath>
          <m:r>
            <m:t>=</m:t>
          </m:r>
        </m:oMath>
      </m:oMathPara>
      <m:oMathPara>
        <m:oMath>
          <m:r>
            <m:t>0.00062</m:t>
          </m:r>
        </m:oMath>
      </m:oMathPara>
    </w:p>
    <w:p>
      <w:pPr>
        <w:pStyle w:val="pStyle"/>
      </w:pPr>
      <w:r>
        <w:t xml:space="preserve">Таким образом, I = 1.081 ± 0.00062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Формула трапеции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Ньютона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Приближенное нахождение корней уравнения</w:t>
        </w:r>
      </w:hyperlink>
    </w:p>
    <w:p>
      <w:hyperlink r:id="rId11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Формула Симпсона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Зейделя</w:t>
        </w:r>
      </w:hyperlink>
    </w:p>
    <w:p>
      <w:hyperlink r:id="rId14" w:history="1">
        <w:r>
          <w:rPr>
            <w:color w:val="0000FF"/>
            <w:u w:val="single"/>
          </w:rPr>
          <w:t xml:space="preserve">Формула прямоугольников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trapezoid-formula.php" TargetMode="External"/>
  <Relationship Id="rId8" Type="http://schemas.openxmlformats.org/officeDocument/2006/relationships/hyperlink" Target="https://math.semestr.ru/optim/fibonacci.php" TargetMode="External"/>
  <Relationship Id="rId9" Type="http://schemas.openxmlformats.org/officeDocument/2006/relationships/hyperlink" Target="https://math.semestr.ru/optim/newton.php" TargetMode="External"/>
  <Relationship Id="rId10" Type="http://schemas.openxmlformats.org/officeDocument/2006/relationships/hyperlink" Target="https://math.semestr.ru/optim/koren.php" TargetMode="External"/>
  <Relationship Id="rId11" Type="http://schemas.openxmlformats.org/officeDocument/2006/relationships/hyperlink" Target="https://math.semestr.ru/optim/computational-mathematics.php" TargetMode="External"/>
  <Relationship Id="rId12" Type="http://schemas.openxmlformats.org/officeDocument/2006/relationships/hyperlink" Target="https://math.semestr.ru/optim/simpson.php" TargetMode="External"/>
  <Relationship Id="rId13" Type="http://schemas.openxmlformats.org/officeDocument/2006/relationships/hyperlink" Target="https://math.semestr.ru/optim/zeidel.php" TargetMode="External"/>
  <Relationship Id="rId14" Type="http://schemas.openxmlformats.org/officeDocument/2006/relationships/hyperlink" Target="https://math.semestr.ru/optim/rectangl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2024-08-23T08:36:00+03:00</dcterms:created>
  <dcterms:modified xsi:type="dcterms:W3CDTF">2024-08-23T08:36:00+03:00</dcterms:modified>
  <dc:title>Формула трапеции</dc:title>
  <dc:description>https://math.semestr.ru/optim/trapezoid-formula.php</dc:description>
  <dc:subject>Формула трапеции</dc:subject>
  <cp:keywords>Формула трапеции</cp:keywords>
  <cp:category>Формула трапеции</cp:category>
</cp:coreProperties>
</file>