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Критерий “восходящих” и “нисходящих” серий</w:t>
      </w:r>
      <w:r>
        <w:t xml:space="preserve">, реализуется в виде следующей последовательности шагов:</w:t>
      </w:r>
    </w:p>
    <w:p>
      <w:pPr>
        <w:pStyle w:val="pStyle"/>
      </w:pPr>
      <w:r>
        <w:t xml:space="preserve">1) Составляем последовательность из плюсов и минусов по правилу: на i-м месте в ряду y</w:t>
      </w:r>
      <w:r>
        <w:rPr>
          <w:vertAlign w:val="subscript"/>
        </w:rPr>
        <w:t>1</w:t>
      </w:r>
      <w:r>
        <w:t xml:space="preserve">,y</w:t>
      </w:r>
      <w:r>
        <w:rPr>
          <w:vertAlign w:val="subscript"/>
        </w:rPr>
        <w:t>2</w:t>
      </w:r>
      <w:r>
        <w:t xml:space="preserve">, ... ,y</w:t>
      </w:r>
      <w:r>
        <w:rPr>
          <w:vertAlign w:val="subscript"/>
        </w:rPr>
        <w:t>n</w:t>
      </w:r>
      <w:r>
        <w:t xml:space="preserve">. ставится знак плюс, если y</w:t>
      </w:r>
      <w:r>
        <w:rPr>
          <w:vertAlign w:val="subscript"/>
        </w:rPr>
        <w:t>i+1</w:t>
      </w:r>
      <w:r>
        <w:t xml:space="preserve"> - y</w:t>
      </w:r>
      <w:r>
        <w:rPr>
          <w:vertAlign w:val="subscript"/>
        </w:rPr>
        <w:t>i</w:t>
      </w:r>
      <w:r>
        <w:t xml:space="preserve"> &gt; 0, и знак минус, если y</w:t>
      </w:r>
      <w:r>
        <w:rPr>
          <w:vertAlign w:val="subscript"/>
        </w:rPr>
        <w:t>i+1</w:t>
      </w:r>
      <w:r>
        <w:t xml:space="preserve"> - y</w:t>
      </w:r>
      <w:r>
        <w:rPr>
          <w:vertAlign w:val="subscript"/>
        </w:rPr>
        <w:t>i</w:t>
      </w:r>
      <w:r>
        <w:t xml:space="preserve"> &lt; 0. Если y</w:t>
      </w:r>
      <w:r>
        <w:rPr>
          <w:vertAlign w:val="subscript"/>
        </w:rPr>
        <w:t>i+1</w:t>
      </w:r>
      <w:r>
        <w:t xml:space="preserve"> = y</w:t>
      </w:r>
      <w:r>
        <w:rPr>
          <w:vertAlign w:val="subscript"/>
        </w:rPr>
        <w:t>i</w:t>
      </w:r>
      <w:r>
        <w:t xml:space="preserve">, учитывается только y</w:t>
      </w:r>
      <w:r>
        <w:rPr>
          <w:vertAlign w:val="subscript"/>
        </w:rPr>
        <w:t>i</w:t>
      </w:r>
      <w:r>
        <w:t xml:space="preserve">: проверяется y</w:t>
      </w:r>
      <w:r>
        <w:rPr>
          <w:vertAlign w:val="subscript"/>
        </w:rPr>
        <w:t>i</w:t>
      </w:r>
      <w:r>
        <w:t xml:space="preserve">&gt;0 либо y</w:t>
      </w:r>
      <w:r>
        <w:rPr>
          <w:vertAlign w:val="subscript"/>
        </w:rPr>
        <w:t>i</w:t>
      </w:r>
      <w:r>
        <w:t xml:space="preserve">&lt;0. Такую же проверку делают и для y</w:t>
      </w:r>
      <w:r>
        <w:rPr>
          <w:vertAlign w:val="subscript"/>
        </w:rPr>
        <w:t>n</w:t>
      </w:r>
      <w:r>
        <w:t xml:space="preserve">.</w:t>
      </w:r>
    </w:p>
    <w:p>
      <w:pPr>
        <w:pStyle w:val="pStyle"/>
      </w:pPr>
      <w:r>
        <w:t xml:space="preserve">Таблица для расчета показателей.</w:t>
      </w:r>
    </w:p>
    <w:tbl>
      <w:tblPr>
        <w:tblStyle w:val="myOwnTableStyle"/>
        <w:jc w:val="center"/>
      </w:tblPr>
      <w:tr>
        <w:tc>
          <w:tcPr>
            <w:tcW w:w="1800" w:type="dxa"/>
          </w:tcPr>
          <w:p>
            <w:r>
              <w:t xml:space="preserve">y</w:t>
            </w:r>
            <w:r>
              <w:rPr>
                <w:vertAlign w:val="subscript"/>
              </w:rPr>
              <w:t>t</w:t>
            </w:r>
          </w:p>
        </w:tc>
        <w:tc>
          <w:tcPr>
            <w:tcW w:w="1800" w:type="dxa"/>
          </w:tcPr>
          <w:p>
            <w:r>
              <w:t xml:space="preserve">Серии</w:t>
            </w:r>
          </w:p>
        </w:tc>
      </w:tr>
      <w:tr>
        <w:tc>
          <w:tcPr>
            <w:tcW w:w="1800" w:type="dxa"/>
          </w:tcPr>
          <w:p>
            <w:r>
              <w:t xml:space="preserve">19.89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19.92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19.87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19.86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19.89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19.90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19.95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19.84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19.90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19.88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19.91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19.88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19.93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19.92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19.84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19.86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20.0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19.92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19.94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19.96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</w:tbl>
    <w:p>
      <w:pPr>
        <w:pStyle w:val="pStyle"/>
      </w:pPr>
      <w:r>
        <w:t xml:space="preserve">Полученная последовательность "+" и "-" характеризуется количеством серий v(n) = 13 и длиной самой длинной серии t(n) = 3.</w:t>
      </w:r>
    </w:p>
    <w:p>
      <w:pPr>
        <w:pStyle w:val="pStyle"/>
      </w:pPr>
      <w:r>
        <w:t xml:space="preserve">5) Проверка гипотезы основывается на том, что при условии случайности ряда (при отсутствии систематической составляющей) протяженность самой длинной серии не должна быть слишком большой, а общее число серий - слишком маленьким. Поэтому для того, чтобы не была отвергнута гипотеза о случайности исходного ряда (об отсутствии систематической составляющей) должны выполняться следующие неравенства:</w:t>
      </w:r>
    </w:p>
    <w:p>
      <m:oMathPara>
        <m:oMath>
          <m:r>
            <m:t>v(n) &gt; </m:t>
          </m:r>
          <m:f>
            <m:num>
              <m:r>
                <m:t>1</m:t>
              </m:r>
            </m:num>
            <m:den>
              <m:r>
                <m:t>3</m:t>
              </m:r>
            </m:den>
          </m:f>
          <m:r>
            <m:t>(2n-1)-</m:t>
          </m:r>
          <m:sSub>
            <m:e>
              <m:r>
                <m:t>u</m:t>
              </m:r>
            </m:e>
            <m:sub>
              <m:r>
                <m:t>t</m:t>
              </m:r>
            </m:sub>
          </m:sSub>
          <m:rad>
            <m:radPr>
              <m:degHide m:val="1"/>
              <m:ctrlPr/>
            </m:radPr>
            <m:deg/>
            <m:e>
              <m:f>
                <m:num>
                  <m:r>
                    <m:t>16n-29</m:t>
                  </m:r>
                </m:num>
                <m:den>
                  <m:r>
                    <m:t>90</m:t>
                  </m:r>
                </m:den>
              </m:f>
            </m:e>
          </m:rad>
        </m:oMath>
      </m:oMathPara>
    </w:p>
    <w:p>
      <w:pPr>
        <w:pStyle w:val="pStyle"/>
      </w:pPr>
      <w:r>
        <w:t xml:space="preserve">t(n) &lt; t</w:t>
      </w:r>
      <w:r>
        <w:rPr>
          <w:vertAlign w:val="subscript"/>
        </w:rPr>
        <w:t>kp</w:t>
      </w:r>
    </w:p>
    <w:p>
      <w:pPr>
        <w:pStyle w:val="pStyle"/>
      </w:pPr>
      <w:r>
        <w:t xml:space="preserve">t</w:t>
      </w:r>
      <w:r>
        <w:rPr>
          <w:vertAlign w:val="subscript"/>
        </w:rPr>
        <w:t>kp</w:t>
      </w:r>
      <w:r>
        <w:t xml:space="preserve">: 5, при n &lt; 26 ; 6, при 26 ≤ n &lt; 153; 7, при 153 ≤ n &lt; 1170.</w:t>
      </w:r>
    </w:p>
    <w:p>
      <w:pPr>
        <w:pStyle w:val="pStyle"/>
      </w:pPr>
      <w:r>
        <w:t xml:space="preserve">u</w:t>
      </w:r>
      <w:r>
        <w:rPr>
          <w:vertAlign w:val="subscript"/>
        </w:rPr>
        <w:t>t</w:t>
      </w:r>
      <w:r>
        <w:t xml:space="preserve"> - квантиль нормального распределения уровня (1-α)/2.</w:t>
      </w:r>
    </w:p>
    <w:p>
      <w:pPr>
        <w:pStyle w:val="pStyle"/>
      </w:pPr>
      <w:r>
        <w:t xml:space="preserve">Числа v(n) и t(n) необходимо округлить вниз до ближайшего целого.</w:t>
      </w:r>
    </w:p>
    <w:p>
      <w:pPr>
        <w:pStyle w:val="pStyle"/>
      </w:pPr>
      <w:r>
        <w:t xml:space="preserve">Если одновременно выполняются условия:</w:t>
      </w:r>
    </w:p>
    <w:p>
      <w:pPr>
        <w:pStyle w:val="pStyle"/>
      </w:pPr>
      <w:r>
        <w:t xml:space="preserve">v(n) &gt; v</w:t>
      </w:r>
      <w:r>
        <w:rPr>
          <w:vertAlign w:val="subscript"/>
        </w:rPr>
        <w:t>kp</w:t>
      </w:r>
    </w:p>
    <w:p>
      <w:pPr>
        <w:pStyle w:val="pStyle"/>
      </w:pPr>
      <w:r>
        <w:t xml:space="preserve">t(n) &lt; t</w:t>
      </w:r>
      <w:r>
        <w:rPr>
          <w:vertAlign w:val="subscript"/>
        </w:rPr>
        <w:t>kp</w:t>
      </w:r>
    </w:p>
    <w:p>
      <w:pPr>
        <w:pStyle w:val="pStyle"/>
      </w:pPr>
      <w:r>
        <w:t xml:space="preserve">то гипотеза Н</w:t>
      </w:r>
      <w:r>
        <w:rPr>
          <w:vertAlign w:val="subscript"/>
        </w:rPr>
        <w:t>0</w:t>
      </w:r>
      <w:r>
        <w:t xml:space="preserve"> о наличии тренда может быть принята с ошибкой первого рода. В противном случае элементы выборки нельзя считать стохастически независимыми.</w:t>
      </w:r>
    </w:p>
    <w:p>
      <m:oMathPara>
        <m:oMath>
          <m:r>
            <m:t>v(n)</m:t>
          </m:r>
        </m:oMath>
      </m:oMathPara>
      <m:oMathPara>
        <m:oMath>
          <m:r>
            <m:t>=</m:t>
          </m:r>
        </m:oMath>
      </m:oMathPara>
      <m:oMathPara>
        <m:oMath>
          <m:r>
            <m:t>13&gt; </m:t>
          </m:r>
          <m:f>
            <m:num>
              <m:r>
                <m:t>1</m:t>
              </m:r>
            </m:num>
            <m:den>
              <m:r>
                <m:t>3</m:t>
              </m:r>
            </m:den>
          </m:f>
          <m:r>
            <m:t>(2∙20-1)-1.96</m:t>
          </m:r>
          <m:rad>
            <m:radPr>
              <m:degHide m:val="1"/>
              <m:ctrlPr/>
            </m:radPr>
            <m:deg/>
            <m:e>
              <m:f>
                <m:num>
                  <m:r>
                    <m:t>16∙20-29</m:t>
                  </m:r>
                </m:num>
                <m:den>
                  <m:r>
                    <m:t>90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9</m:t>
          </m:r>
        </m:oMath>
      </m:oMathPara>
    </w:p>
    <w:p>
      <w:pPr>
        <w:pStyle w:val="pStyle"/>
      </w:pPr>
      <w:r>
        <w:t xml:space="preserve">t(n) = 3&lt;5</w:t>
      </w:r>
    </w:p>
    <w:p>
      <w:pPr>
        <w:pStyle w:val="pStyle"/>
      </w:pPr>
      <w:r>
        <w:t xml:space="preserve">Оба неравенства выполняются. Таким образом, гипотеза о наличии тренда отвергается (нет оснований отклонить нулевую гипотезу об отсутствии тренда и она принимается.).</w:t>
      </w:r>
    </w:p>
    <w:p>
      <w:pPr>
        <w:pStyle w:val="pStyle"/>
      </w:pPr>
      <w:r>
        <w:t xml:space="preserve">Критерий "восходящих" и "нисходящих" серий улавливает смещение оценки математического ожидания монотонного и периодического характера. Это более мощный критерий по сравнению с критерием серий, основанном на медиане.</w:t>
      </w:r>
    </w:p>
    <w:p>
      <w:pPr>
        <w:pStyle w:val="pStyle"/>
      </w:pPr>
      <w:r>
        <w:rPr>
          <w:b/>
        </w:rPr>
        <w:t>Критерий серий, основанный на медиане выборки</w:t>
      </w:r>
      <w:r>
        <w:t xml:space="preserve">, реализуется в виде следующей последовательности шагов:</w:t>
      </w:r>
    </w:p>
    <w:p>
      <w:pPr>
        <w:pStyle w:val="pStyle"/>
      </w:pPr>
      <w:r>
        <w:t xml:space="preserve">1) Из исходного ряда y</w:t>
      </w:r>
      <w:r>
        <w:rPr>
          <w:vertAlign w:val="subscript"/>
        </w:rPr>
        <w:t>t</w:t>
      </w:r>
      <w:r>
        <w:t xml:space="preserve"> длиной n образуется ранжированный (вариационный) ряд.</w:t>
      </w:r>
    </w:p>
    <w:tbl>
      <w:tblPr>
        <w:tblStyle w:val="myOwnTableStyle"/>
        <w:jc w:val="center"/>
      </w:tblPr>
      <w:tr>
        <w:tc>
          <w:tcPr>
            <w:tcW w:w="1800" w:type="dxa"/>
          </w:tcPr>
          <w:p>
            <w:r>
              <w:t xml:space="preserve">t</w:t>
            </w:r>
          </w:p>
        </w:tc>
        <w:tc>
          <w:tcPr>
            <w:tcW w:w="1800" w:type="dxa"/>
          </w:tcPr>
          <w:p>
            <w:r>
              <w:t xml:space="preserve">x</w:t>
            </w:r>
          </w:p>
        </w:tc>
      </w:tr>
      <w:tr>
        <w:tc>
          <w:tcPr>
            <w:tcW w:w="1800" w:type="dxa"/>
          </w:tcPr>
          <w:p>
            <w:r>
              <w:t xml:space="preserve">1</w:t>
            </w:r>
          </w:p>
        </w:tc>
        <w:tc>
          <w:tcPr>
            <w:tcW w:w="1800" w:type="dxa"/>
          </w:tcPr>
          <w:p>
            <w:r>
              <w:t xml:space="preserve">19.84</w:t>
            </w:r>
          </w:p>
        </w:tc>
      </w:tr>
      <w:tr>
        <w:tc>
          <w:tcPr>
            <w:tcW w:w="1800" w:type="dxa"/>
          </w:tcPr>
          <w:p>
            <w:r>
              <w:t xml:space="preserve">2</w:t>
            </w:r>
          </w:p>
        </w:tc>
        <w:tc>
          <w:tcPr>
            <w:tcW w:w="1800" w:type="dxa"/>
          </w:tcPr>
          <w:p>
            <w:r>
              <w:t xml:space="preserve">19.84</w:t>
            </w:r>
          </w:p>
        </w:tc>
      </w:tr>
      <w:tr>
        <w:tc>
          <w:tcPr>
            <w:tcW w:w="1800" w:type="dxa"/>
          </w:tcPr>
          <w:p>
            <w:r>
              <w:t xml:space="preserve">3</w:t>
            </w:r>
          </w:p>
        </w:tc>
        <w:tc>
          <w:tcPr>
            <w:tcW w:w="1800" w:type="dxa"/>
          </w:tcPr>
          <w:p>
            <w:r>
              <w:t xml:space="preserve">19.86</w:t>
            </w:r>
          </w:p>
        </w:tc>
      </w:tr>
      <w:tr>
        <w:tc>
          <w:tcPr>
            <w:tcW w:w="1800" w:type="dxa"/>
          </w:tcPr>
          <w:p>
            <w:r>
              <w:t xml:space="preserve">4</w:t>
            </w:r>
          </w:p>
        </w:tc>
        <w:tc>
          <w:tcPr>
            <w:tcW w:w="1800" w:type="dxa"/>
          </w:tcPr>
          <w:p>
            <w:r>
              <w:t xml:space="preserve">19.86</w:t>
            </w:r>
          </w:p>
        </w:tc>
      </w:tr>
      <w:tr>
        <w:tc>
          <w:tcPr>
            <w:tcW w:w="1800" w:type="dxa"/>
          </w:tcPr>
          <w:p>
            <w:r>
              <w:t xml:space="preserve">5</w:t>
            </w:r>
          </w:p>
        </w:tc>
        <w:tc>
          <w:tcPr>
            <w:tcW w:w="1800" w:type="dxa"/>
          </w:tcPr>
          <w:p>
            <w:r>
              <w:t xml:space="preserve">19.87</w:t>
            </w:r>
          </w:p>
        </w:tc>
      </w:tr>
      <w:tr>
        <w:tc>
          <w:tcPr>
            <w:tcW w:w="1800" w:type="dxa"/>
          </w:tcPr>
          <w:p>
            <w:r>
              <w:t xml:space="preserve">6</w:t>
            </w:r>
          </w:p>
        </w:tc>
        <w:tc>
          <w:tcPr>
            <w:tcW w:w="1800" w:type="dxa"/>
          </w:tcPr>
          <w:p>
            <w:r>
              <w:t xml:space="preserve">19.88</w:t>
            </w:r>
          </w:p>
        </w:tc>
      </w:tr>
      <w:tr>
        <w:tc>
          <w:tcPr>
            <w:tcW w:w="1800" w:type="dxa"/>
          </w:tcPr>
          <w:p>
            <w:r>
              <w:t xml:space="preserve">7</w:t>
            </w:r>
          </w:p>
        </w:tc>
        <w:tc>
          <w:tcPr>
            <w:tcW w:w="1800" w:type="dxa"/>
          </w:tcPr>
          <w:p>
            <w:r>
              <w:t xml:space="preserve">19.88</w:t>
            </w:r>
          </w:p>
        </w:tc>
      </w:tr>
      <w:tr>
        <w:tc>
          <w:tcPr>
            <w:tcW w:w="1800" w:type="dxa"/>
          </w:tcPr>
          <w:p>
            <w:r>
              <w:t xml:space="preserve">8</w:t>
            </w:r>
          </w:p>
        </w:tc>
        <w:tc>
          <w:tcPr>
            <w:tcW w:w="1800" w:type="dxa"/>
          </w:tcPr>
          <w:p>
            <w:r>
              <w:t xml:space="preserve">19.89</w:t>
            </w:r>
          </w:p>
        </w:tc>
      </w:tr>
      <w:tr>
        <w:tc>
          <w:tcPr>
            <w:tcW w:w="1800" w:type="dxa"/>
          </w:tcPr>
          <w:p>
            <w:r>
              <w:t xml:space="preserve">9</w:t>
            </w:r>
          </w:p>
        </w:tc>
        <w:tc>
          <w:tcPr>
            <w:tcW w:w="1800" w:type="dxa"/>
          </w:tcPr>
          <w:p>
            <w:r>
              <w:t xml:space="preserve">19.89</w:t>
            </w:r>
          </w:p>
        </w:tc>
      </w:tr>
      <w:tr>
        <w:tc>
          <w:tcPr>
            <w:tcW w:w="1800" w:type="dxa"/>
          </w:tcPr>
          <w:p>
            <w:r>
              <w:t xml:space="preserve">10</w:t>
            </w:r>
          </w:p>
        </w:tc>
        <w:tc>
          <w:tcPr>
            <w:tcW w:w="1800" w:type="dxa"/>
          </w:tcPr>
          <w:p>
            <w:r>
              <w:t xml:space="preserve">19.90</w:t>
            </w:r>
          </w:p>
        </w:tc>
      </w:tr>
      <w:tr>
        <w:tc>
          <w:tcPr>
            <w:tcW w:w="1800" w:type="dxa"/>
          </w:tcPr>
          <w:p>
            <w:r>
              <w:t xml:space="preserve">11</w:t>
            </w:r>
          </w:p>
        </w:tc>
        <w:tc>
          <w:tcPr>
            <w:tcW w:w="1800" w:type="dxa"/>
          </w:tcPr>
          <w:p>
            <w:r>
              <w:t xml:space="preserve">19.90</w:t>
            </w:r>
          </w:p>
        </w:tc>
      </w:tr>
      <w:tr>
        <w:tc>
          <w:tcPr>
            <w:tcW w:w="1800" w:type="dxa"/>
          </w:tcPr>
          <w:p>
            <w:r>
              <w:t xml:space="preserve">12</w:t>
            </w:r>
          </w:p>
        </w:tc>
        <w:tc>
          <w:tcPr>
            <w:tcW w:w="1800" w:type="dxa"/>
          </w:tcPr>
          <w:p>
            <w:r>
              <w:t xml:space="preserve">19.91</w:t>
            </w:r>
          </w:p>
        </w:tc>
      </w:tr>
      <w:tr>
        <w:tc>
          <w:tcPr>
            <w:tcW w:w="1800" w:type="dxa"/>
          </w:tcPr>
          <w:p>
            <w:r>
              <w:t xml:space="preserve">13</w:t>
            </w:r>
          </w:p>
        </w:tc>
        <w:tc>
          <w:tcPr>
            <w:tcW w:w="1800" w:type="dxa"/>
          </w:tcPr>
          <w:p>
            <w:r>
              <w:t xml:space="preserve">19.92</w:t>
            </w:r>
          </w:p>
        </w:tc>
      </w:tr>
      <w:tr>
        <w:tc>
          <w:tcPr>
            <w:tcW w:w="1800" w:type="dxa"/>
          </w:tcPr>
          <w:p>
            <w:r>
              <w:t xml:space="preserve">14</w:t>
            </w:r>
          </w:p>
        </w:tc>
        <w:tc>
          <w:tcPr>
            <w:tcW w:w="1800" w:type="dxa"/>
          </w:tcPr>
          <w:p>
            <w:r>
              <w:t xml:space="preserve">19.92</w:t>
            </w:r>
          </w:p>
        </w:tc>
      </w:tr>
      <w:tr>
        <w:tc>
          <w:tcPr>
            <w:tcW w:w="1800" w:type="dxa"/>
          </w:tcPr>
          <w:p>
            <w:r>
              <w:t xml:space="preserve">15</w:t>
            </w:r>
          </w:p>
        </w:tc>
        <w:tc>
          <w:tcPr>
            <w:tcW w:w="1800" w:type="dxa"/>
          </w:tcPr>
          <w:p>
            <w:r>
              <w:t xml:space="preserve">19.92</w:t>
            </w:r>
          </w:p>
        </w:tc>
      </w:tr>
      <w:tr>
        <w:tc>
          <w:tcPr>
            <w:tcW w:w="1800" w:type="dxa"/>
          </w:tcPr>
          <w:p>
            <w:r>
              <w:t xml:space="preserve">16</w:t>
            </w:r>
          </w:p>
        </w:tc>
        <w:tc>
          <w:tcPr>
            <w:tcW w:w="1800" w:type="dxa"/>
          </w:tcPr>
          <w:p>
            <w:r>
              <w:t xml:space="preserve">19.93</w:t>
            </w:r>
          </w:p>
        </w:tc>
      </w:tr>
      <w:tr>
        <w:tc>
          <w:tcPr>
            <w:tcW w:w="1800" w:type="dxa"/>
          </w:tcPr>
          <w:p>
            <w:r>
              <w:t xml:space="preserve">17</w:t>
            </w:r>
          </w:p>
        </w:tc>
        <w:tc>
          <w:tcPr>
            <w:tcW w:w="1800" w:type="dxa"/>
          </w:tcPr>
          <w:p>
            <w:r>
              <w:t xml:space="preserve">19.94</w:t>
            </w:r>
          </w:p>
        </w:tc>
      </w:tr>
      <w:tr>
        <w:tc>
          <w:tcPr>
            <w:tcW w:w="1800" w:type="dxa"/>
          </w:tcPr>
          <w:p>
            <w:r>
              <w:t xml:space="preserve">18</w:t>
            </w:r>
          </w:p>
        </w:tc>
        <w:tc>
          <w:tcPr>
            <w:tcW w:w="1800" w:type="dxa"/>
          </w:tcPr>
          <w:p>
            <w:r>
              <w:t xml:space="preserve">19.95</w:t>
            </w:r>
          </w:p>
        </w:tc>
      </w:tr>
      <w:tr>
        <w:tc>
          <w:tcPr>
            <w:tcW w:w="1800" w:type="dxa"/>
          </w:tcPr>
          <w:p>
            <w:r>
              <w:t xml:space="preserve">19</w:t>
            </w:r>
          </w:p>
        </w:tc>
        <w:tc>
          <w:tcPr>
            <w:tcW w:w="1800" w:type="dxa"/>
          </w:tcPr>
          <w:p>
            <w:r>
              <w:t xml:space="preserve">19.96</w:t>
            </w:r>
          </w:p>
        </w:tc>
      </w:tr>
      <w:tr>
        <w:tc>
          <w:tcPr>
            <w:tcW w:w="1800" w:type="dxa"/>
          </w:tcPr>
          <w:p>
            <w:r>
              <w:t xml:space="preserve">20</w:t>
            </w:r>
          </w:p>
        </w:tc>
        <w:tc>
          <w:tcPr>
            <w:tcW w:w="1800" w:type="dxa"/>
          </w:tcPr>
          <w:p>
            <w:r>
              <w:t xml:space="preserve">20.0</w:t>
            </w:r>
          </w:p>
        </w:tc>
      </w:tr>
    </w:tbl>
    <w:p>
      <w:pPr>
        <w:pStyle w:val="pStyle"/>
      </w:pPr>
      <w:r>
        <w:t xml:space="preserve">2) Определяется медиана этого вариационного ряда Me.</w:t>
      </w:r>
    </w:p>
    <w:p>
      <w:pPr>
        <w:pStyle w:val="pStyle"/>
      </w:pPr>
      <w:r>
        <w:t xml:space="preserve">Находим середину ранжированного ряда: h = </w:t>
      </w:r>
      <w:r>
        <w:rPr>
          <w:vertAlign w:val="superscript"/>
        </w:rPr>
        <w:t>n</w:t>
      </w:r>
      <w:r>
        <w:t xml:space="preserve">/</w:t>
      </w:r>
      <w:r>
        <w:rPr>
          <w:vertAlign w:val="subscript"/>
        </w:rPr>
        <w:t>2</w:t>
      </w:r>
      <w:r>
        <w:t xml:space="preserve"> = </w:t>
      </w:r>
      <w:r>
        <w:rPr>
          <w:vertAlign w:val="superscript"/>
        </w:rPr>
        <w:t>20</w:t>
      </w:r>
      <w:r>
        <w:t xml:space="preserve">/</w:t>
      </w:r>
      <w:r>
        <w:rPr>
          <w:vertAlign w:val="subscript"/>
        </w:rPr>
        <w:t>2</w:t>
      </w:r>
      <w:r>
        <w:t xml:space="preserve"> = 10. Ранжированный ряд включает четное число единиц, следовательно медиана определяется как средняя из двух центральных значений: (19.90 + 19.90)/2 = 19.9</w:t>
      </w:r>
    </w:p>
    <w:p>
      <w:pPr>
        <w:pStyle w:val="pStyle"/>
      </w:pPr>
      <w:r>
        <w:t xml:space="preserve">4) В исходной выборке вместо каждого y</w:t>
      </w:r>
      <w:r>
        <w:rPr>
          <w:vertAlign w:val="subscript"/>
        </w:rPr>
        <w:t>i</w:t>
      </w:r>
      <w:r>
        <w:t xml:space="preserve"> будем ставить "+", если y</w:t>
      </w:r>
      <w:r>
        <w:rPr>
          <w:vertAlign w:val="subscript"/>
        </w:rPr>
        <w:t>i</w:t>
      </w:r>
      <w:r>
        <w:t xml:space="preserve"> &gt; Me, "-", если y</w:t>
      </w:r>
      <w:r>
        <w:rPr>
          <w:vertAlign w:val="subscript"/>
        </w:rPr>
        <w:t>i</w:t>
      </w:r>
      <w:r>
        <w:t xml:space="preserve"> &lt; Me. Если y</w:t>
      </w:r>
      <w:r>
        <w:rPr>
          <w:vertAlign w:val="subscript"/>
        </w:rPr>
        <w:t>i</w:t>
      </w:r>
      <w:r>
        <w:t xml:space="preserve"> = Me, то не ставится никакой знак.  При этом под серией понимается последовательность подряд идущих "+" или "-". Серия может состоять только из одного "+" или "-". Длина серии – количество подряд идущих "+" или "-".</w:t>
      </w:r>
    </w:p>
    <w:p>
      <w:pPr>
        <w:pStyle w:val="pStyle"/>
      </w:pPr>
      <w:r>
        <w:t xml:space="preserve">Таблица для расчета показателей.</w:t>
      </w:r>
    </w:p>
    <w:tbl>
      <w:tblPr>
        <w:tblStyle w:val="myOwnTableStyle"/>
        <w:jc w:val="center"/>
      </w:tblPr>
      <w:tr>
        <w:tc>
          <w:tcPr>
            <w:tcW w:w="1800" w:type="dxa"/>
          </w:tcPr>
          <w:p>
            <w:r>
              <w:t xml:space="preserve">y</w:t>
            </w:r>
            <w:r>
              <w:rPr>
                <w:vertAlign w:val="subscript"/>
              </w:rPr>
              <w:t>t</w:t>
            </w:r>
          </w:p>
        </w:tc>
        <w:tc>
          <w:tcPr>
            <w:tcW w:w="1800" w:type="dxa"/>
          </w:tcPr>
          <w:p>
            <w:r>
              <w:t xml:space="preserve">Серии</w:t>
            </w:r>
          </w:p>
        </w:tc>
      </w:tr>
      <w:tr>
        <w:tc>
          <w:tcPr>
            <w:tcW w:w="1800" w:type="dxa"/>
          </w:tcPr>
          <w:p>
            <w:r>
              <w:t xml:space="preserve">19.89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19.92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19.87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19.86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19.89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19.90</w:t>
            </w:r>
          </w:p>
        </w:tc>
        <w:tc>
          <w:tcPr>
            <w:tcW w:w="1800" w:type="dxa"/>
          </w:tcPr>
          <w:p>
            <w:r>
              <w:t xml:space="preserve"> </w:t>
            </w:r>
          </w:p>
        </w:tc>
      </w:tr>
      <w:tr>
        <w:tc>
          <w:tcPr>
            <w:tcW w:w="1800" w:type="dxa"/>
          </w:tcPr>
          <w:p>
            <w:r>
              <w:t xml:space="preserve">19.95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19.84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19.90</w:t>
            </w:r>
          </w:p>
        </w:tc>
        <w:tc>
          <w:tcPr>
            <w:tcW w:w="1800" w:type="dxa"/>
          </w:tcPr>
          <w:p>
            <w:r>
              <w:t xml:space="preserve"> </w:t>
            </w:r>
          </w:p>
        </w:tc>
      </w:tr>
      <w:tr>
        <w:tc>
          <w:tcPr>
            <w:tcW w:w="1800" w:type="dxa"/>
          </w:tcPr>
          <w:p>
            <w:r>
              <w:t xml:space="preserve">19.88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19.91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19.88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19.93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19.92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19.84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19.86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</w:tr>
      <w:tr>
        <w:tc>
          <w:tcPr>
            <w:tcW w:w="1800" w:type="dxa"/>
          </w:tcPr>
          <w:p>
            <w:r>
              <w:t xml:space="preserve">20.0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19.92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19.94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  <w:tr>
        <w:tc>
          <w:tcPr>
            <w:tcW w:w="1800" w:type="dxa"/>
          </w:tcPr>
          <w:p>
            <w:r>
              <w:t xml:space="preserve">19.96</w:t>
            </w:r>
          </w:p>
        </w:tc>
        <w:tc>
          <w:tcPr>
            <w:tcW w:w="1800" w:type="dxa"/>
          </w:tcPr>
          <w:p>
            <w:r>
              <w:t xml:space="preserve">+</w:t>
            </w:r>
          </w:p>
        </w:tc>
      </w:tr>
    </w:tbl>
    <w:p>
      <w:pPr>
        <w:pStyle w:val="pStyle"/>
      </w:pPr>
      <w:r>
        <w:t xml:space="preserve">Полученная последовательность "+" и "-" характеризуется количеством серий v(n) = 10 и длиной самой длинной серии t(n) = 4.</w:t>
      </w:r>
    </w:p>
    <w:p>
      <w:pPr>
        <w:pStyle w:val="pStyle"/>
      </w:pPr>
      <w:r>
        <w:t xml:space="preserve">5) Проверка гипотезы основывается на том, что при условии случайности ряда (при отсутствии систематической составляющей) протяженность самой длинной серии не должна быть слишком большой, а общее число серий - слишком маленьким. Поэтому для того, чтобы не была отвергнута гипотеза о случайности исходного ряда (об отсутствии систематической составляющей) должны выполняться следующие неравенства:</w:t>
      </w:r>
    </w:p>
    <w:p>
      <m:oMathPara>
        <m:oMath>
          <m:r>
            <m:t>v(n) &lt; 0.5(n+1-</m:t>
          </m:r>
          <m:sSub>
            <m:e>
              <m:r>
                <m:t>u</m:t>
              </m:r>
            </m:e>
            <m:sub>
              <m:r>
                <m:t>t</m:t>
              </m:r>
            </m:sub>
          </m:sSub>
          <m:rad>
            <m:radPr>
              <m:degHide m:val="1"/>
              <m:ctrlPr/>
            </m:radPr>
            <m:deg/>
            <m:e>
              <m:r>
                <m:t>n-1</m:t>
              </m:r>
            </m:e>
          </m:rad>
          <m:r>
            <m:t>)</m:t>
          </m:r>
        </m:oMath>
      </m:oMathPara>
    </w:p>
    <w:p>
      <w:pPr>
        <w:pStyle w:val="pStyle"/>
      </w:pPr>
      <w:r>
        <w:t xml:space="preserve">t(n) &gt; 3.3(lg(n)+1)</w:t>
      </w:r>
    </w:p>
    <w:p>
      <w:pPr>
        <w:pStyle w:val="pStyle"/>
      </w:pPr>
      <w:r>
        <w:t xml:space="preserve">где u</w:t>
      </w:r>
      <w:r>
        <w:rPr>
          <w:vertAlign w:val="subscript"/>
        </w:rPr>
        <w:t>t</w:t>
      </w:r>
      <w:r>
        <w:t xml:space="preserve"> - квантиль нормального распределения уровня (1-α)/2.</w:t>
      </w:r>
    </w:p>
    <w:p>
      <w:pPr>
        <w:pStyle w:val="pStyle"/>
      </w:pPr>
      <w:r>
        <w:t xml:space="preserve">Числа v(n) и t(n) необходимо округлить вниз до ближайшего целого.</w:t>
      </w:r>
    </w:p>
    <w:p>
      <w:pPr>
        <w:pStyle w:val="pStyle"/>
      </w:pPr>
      <w:r>
        <w:t xml:space="preserve">Если хотя бы одно из неравенств нарушается, то гипотеза об отсутствии тренда отвергается.</w:t>
      </w:r>
    </w:p>
    <w:p>
      <m:oMathPara>
        <m:oMath>
          <m:sSub>
            <m:e>
              <m:r>
                <m:t>v</m:t>
              </m:r>
            </m:e>
            <m:sub>
              <m:r>
                <m:t>kp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0.5(20+1-1.96</m:t>
          </m:r>
          <m:rad>
            <m:radPr>
              <m:degHide m:val="1"/>
              <m:ctrlPr/>
            </m:radPr>
            <m:deg/>
            <m:e>
              <m:r>
                <m:t>20-1</m:t>
              </m:r>
            </m:e>
          </m:rad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6&lt;10</m:t>
          </m:r>
        </m:oMath>
      </m:oMathPara>
    </w:p>
    <w:p>
      <w:pPr>
        <w:pStyle w:val="pStyle"/>
      </w:pPr>
      <w:r>
        <w:t xml:space="preserve">t</w:t>
      </w:r>
      <w:r>
        <w:rPr>
          <w:vertAlign w:val="subscript"/>
        </w:rPr>
        <w:t>kp</w:t>
      </w:r>
      <w:r>
        <w:t xml:space="preserve"> = 3.3(lg(20)+1) = 7&gt;4</w:t>
      </w:r>
    </w:p>
    <w:p>
      <w:pPr>
        <w:pStyle w:val="pStyle"/>
      </w:pPr>
      <w:r>
        <w:t xml:space="preserve">Таким образом, гипотеза об отсутствии тренда принимается.</w:t>
      </w:r>
    </w:p>
    <w:p>
      <w:pPr>
        <w:pStyle w:val="pStyle"/>
      </w:pPr>
      <w:r>
        <w:t xml:space="preserve">Критерий серий, основанный на медиане, улавливает только монотонное изменение среднего (оценки математического ожидания).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Критерий “восходящих” и “нисходящих” серий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Сглаживание методом скользящей средней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аналитического выравнивания</w:t>
        </w:r>
      </w:hyperlink>
    </w:p>
    <w:p>
      <w:hyperlink r:id="rId10" w:history="1">
        <w:r>
          <w:rPr>
            <w:color w:val="0000FF"/>
            <w:u w:val="single"/>
          </w:rPr>
          <w:t xml:space="preserve">Уравнение регрессии</w:t>
        </w:r>
      </w:hyperlink>
    </w:p>
    <w:p>
      <w:hyperlink r:id="rId11" w:history="1">
        <w:r>
          <w:rPr>
            <w:color w:val="0000FF"/>
            <w:u w:val="single"/>
          </w:rPr>
          <w:t xml:space="preserve">Уравнение множественной регрессии</w:t>
        </w:r>
      </w:hyperlink>
    </w:p>
    <w:p>
      <w:hyperlink r:id="rId12" w:history="1">
        <w:r>
          <w:rPr>
            <w:color w:val="0000FF"/>
            <w:u w:val="single"/>
          </w:rPr>
          <w:t xml:space="preserve">Показатели вариации</w:t>
        </w:r>
      </w:hyperlink>
    </w:p>
    <w:p>
      <w:hyperlink r:id="rId13" w:history="1">
        <w:r>
          <w:rPr>
            <w:color w:val="0000FF"/>
            <w:u w:val="single"/>
          </w:rPr>
          <w:t xml:space="preserve">Показатели динамики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trend/series.php" TargetMode="External"/>
  <Relationship Id="rId8" Type="http://schemas.openxmlformats.org/officeDocument/2006/relationships/hyperlink" Target="https://math.semestr.ru/trend/smoothing.php" TargetMode="External"/>
  <Relationship Id="rId9" Type="http://schemas.openxmlformats.org/officeDocument/2006/relationships/hyperlink" Target="https://math.semestr.ru/trend/analis.php" TargetMode="External"/>
  <Relationship Id="rId10" Type="http://schemas.openxmlformats.org/officeDocument/2006/relationships/hyperlink" Target="https://math.semestr.ru/corel/corel.php" TargetMode="External"/>
  <Relationship Id="rId11" Type="http://schemas.openxmlformats.org/officeDocument/2006/relationships/hyperlink" Target="https://math.semestr.ru/regress/corel.php" TargetMode="External"/>
  <Relationship Id="rId12" Type="http://schemas.openxmlformats.org/officeDocument/2006/relationships/hyperlink" Target="https://math.semestr.ru/group/variations.php" TargetMode="External"/>
  <Relationship Id="rId13" Type="http://schemas.openxmlformats.org/officeDocument/2006/relationships/hyperlink" Target="https://axd.semestr.ru/dinam/group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2024-10-02T18:04:00+03:00</dcterms:created>
  <dcterms:modified xsi:type="dcterms:W3CDTF">2024-10-02T18:04:00+03:00</dcterms:modified>
  <dc:title>Критерий “восходящих” и “нисходящих” серий</dc:title>
  <dc:description>Критерий “восходящих” и “нисходящих” серий</dc:description>
  <dc:subject>Критерий “восходящих” и “нисходящих” серий</dc:subject>
  <cp:keywords>https://math.semestr.ru/trend/series.php</cp:keywords>
  <cp:category>Критерий “восходящих” и “нисходящих” серий</cp:category>
</cp:coreProperties>
</file>